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  目  列  表</w:t>
      </w:r>
    </w:p>
    <w:bookmarkEnd w:id="1"/>
    <w:tbl>
      <w:tblPr>
        <w:tblStyle w:val="4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488"/>
        <w:gridCol w:w="3515"/>
        <w:gridCol w:w="184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一、专题与岗位培训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培训对象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培训模式/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学习时长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“系统构建一体化德育课程 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切实提升全员育人能力”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中小学德育管理者、全体教师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 w:cs="仿宋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防欺凌 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善惩戒 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促成长——中小学教师全员育人能力提升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中小学全体教师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bookmarkStart w:id="0" w:name="_Hlk165970870"/>
            <w:r>
              <w:rPr>
                <w:rFonts w:hint="eastAsia" w:ascii="仿宋_GB2312" w:hAnsi="仿宋" w:eastAsia="仿宋_GB2312" w:cs="仿宋"/>
                <w:sz w:val="24"/>
              </w:rPr>
              <w:t>分层分学段培养  锻造高素质班主任队伍</w:t>
            </w:r>
            <w:bookmarkEnd w:id="0"/>
            <w:r>
              <w:rPr>
                <w:rFonts w:hint="eastAsia" w:ascii="仿宋_GB2312" w:hAnsi="仿宋" w:eastAsia="仿宋_GB2312" w:cs="仿宋"/>
                <w:sz w:val="24"/>
              </w:rPr>
              <w:t>——中小学班主任核心素养提升专题网络培训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中小学班主任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（新任、骨干和卓越班主任）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春雨润心--中小学班主任云讲堂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中小学班主任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期直播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中小学教师劳动项目设计与实施能力提升专题网络培训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中小学劳动教育教师、教研员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以体育人  以美育心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共促学生全面发展——中小学教师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素质教育育人能力提升专题网络培训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中小学体育、音乐、美术教师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和教研员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中小学体育教师专项运动技能提升专题网络培训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中小学体育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教师、教研员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融合科学教育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培育创新人才——中小学教师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科学素养与技能提升专题网络培训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中小学全体教师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二、定制化培训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满足中小学德育工作者多元化、个性化发展需求，我院可充分发挥专家团队、课程资源和平台等优势，为各单位提供量身定制化服务，进一步提升德育工作者理论素养和创新实践能力。同时，可根据各单位需求提供集中面授、跟岗实践等有针对性、个性化的培训和服务。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FEC2F0A"/>
    <w:rsid w:val="0F3C5E2B"/>
    <w:rsid w:val="1FA8259E"/>
    <w:rsid w:val="2CF5455B"/>
    <w:rsid w:val="2FEC2F0A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2024-06-03T08:17:00Z</dcterms:created>
  <dc:creator>一叶编舟</dc:creator>
  <cp:lastModifiedBy>一叶编舟</cp:lastModifiedBy>
  <dcterms:modified xsi:type="dcterms:W3CDTF">2024-06-03T08:19:26Z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B9F9A6DB334F4DC3AAC49F9317FFFAC5_11</vt:lpwstr>
  </property>
</Properties>
</file>