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 w14:paraId="383B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cs="Calibri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国家级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bidi="ar"/>
        </w:rPr>
        <w:t>绿色矿山建设评价指标</w:t>
      </w:r>
    </w:p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7104"/>
        <w:gridCol w:w="5844"/>
      </w:tblGrid>
      <w:tr w14:paraId="15D6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6B8B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先决条件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8CEE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584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5A2FB8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说明</w:t>
            </w:r>
          </w:p>
        </w:tc>
      </w:tr>
      <w:tr w14:paraId="0CA0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B03F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手续齐全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338DF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《采矿许可证》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《安全生产许可证》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《营业执照》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依法办理环评和排污许可手续，并依法完成竣工环保验收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01E9A5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  合格 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不合格    □</w:t>
            </w:r>
          </w:p>
          <w:p w14:paraId="76DCDED1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63770366"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其中1条不满足的，即为不合格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  <w:p w14:paraId="5B7C26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DDF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89C1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三年内未受行政处罚</w:t>
            </w:r>
          </w:p>
          <w:p w14:paraId="6A128C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或已整改到位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10131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近三年内（自遴选通知下发之日起前三年），未受到自然资源和生态环境等部门行政处罚，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或受到处罚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在履行期限内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已执行到位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（出具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），且未发生过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较大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及以上安全生产事故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环境事件的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12D6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470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E5FD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矿业权人异常名录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5F181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矿山参加遴选期间，矿业权人未被列入矿业权人勘查开采信息公示异常名录。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8232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3C8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80D6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矿山要求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5F4F4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矿山近三年内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运营，且剩余储量可采年限（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储量年度报告）不少于三年。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5F478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C5B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2E59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9C7F8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矿区范围未涉及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生态保护红线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国家有规定的除外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符合国土空间规划及规划环评要求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DFE1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551A8D44"/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0"/>
        <w:gridCol w:w="2"/>
        <w:gridCol w:w="1130"/>
        <w:gridCol w:w="672"/>
        <w:gridCol w:w="5300"/>
        <w:gridCol w:w="950"/>
        <w:gridCol w:w="2563"/>
        <w:gridCol w:w="915"/>
        <w:gridCol w:w="915"/>
        <w:gridCol w:w="501"/>
      </w:tblGrid>
      <w:tr w14:paraId="6542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107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DD1A2C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一级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6A565B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二级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4D506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61CE8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标准分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C2241A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评分说明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C32C53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4CA037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noWrap w:val="0"/>
            <w:vAlign w:val="center"/>
          </w:tcPr>
          <w:p w14:paraId="0EC84594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3CA9B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0D0A38"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得分</w:t>
            </w:r>
          </w:p>
        </w:tc>
      </w:tr>
      <w:tr w14:paraId="6FAB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5B04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一、矿区环境(7项，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649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1矿容矿貌（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3E5F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1功能分区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8DFA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A1F919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生产区、管理区、生活区进行功能分区，符合分区要求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管理区、生活区分区不明显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C7333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1224D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矿区总平面布置图或示意图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《工业企业总平面设计规范》（GB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50187）</w:t>
            </w:r>
          </w:p>
        </w:tc>
        <w:tc>
          <w:tcPr>
            <w:tcW w:w="915" w:type="dxa"/>
            <w:noWrap w:val="0"/>
            <w:vAlign w:val="center"/>
          </w:tcPr>
          <w:p w14:paraId="48F2CA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684A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8E1F1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85A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14CB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2906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C2872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2配套设施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ECF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6DBE1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矿区地面运输、供水、供电等配套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设施齐全、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食堂、澡堂、厕所等设施齐全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整洁规范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对矿区建筑、构筑物及时维护、维修或粉刷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生产区、管理区、生活区的所有场所不存在私搭乱建等临时建筑、废弃建构筑物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，发现一处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16977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0E0FF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noWrap w:val="0"/>
            <w:vAlign w:val="center"/>
          </w:tcPr>
          <w:p w14:paraId="6E59D9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25F7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7BA1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56B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5976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32D8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BC09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3标识标牌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1159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66B4B3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区按要求设置操作提示牌、说明牌、线路示意图牌等各类标牌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标牌的尺寸、形状、颜色设置符合规定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15E8C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45CA2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/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13306）</w:t>
            </w:r>
          </w:p>
        </w:tc>
        <w:tc>
          <w:tcPr>
            <w:tcW w:w="915" w:type="dxa"/>
            <w:noWrap w:val="0"/>
            <w:vAlign w:val="center"/>
          </w:tcPr>
          <w:p w14:paraId="2C3943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8F66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07E5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CCC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F95F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A007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68C6B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4定置管理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BB4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9DC9C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设备、物资材料规范管理，做到分类分区、摆放有序、堆码整齐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1C214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852D31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CA3F8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935F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E21C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90E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0488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8AC9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92E9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5清洁卫生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365C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A8599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矿区保持清洁卫生，主干道路表面平整、密实和粗糙度适当，内部道路或专用道路及时清理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洒落物，生产区及管理区无垃圾、无废石乱扔乱放，生产现场管线无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、冒、滴、漏现象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28869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93AA6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《厂矿道路设计规范》（GBJ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22）</w:t>
            </w:r>
          </w:p>
        </w:tc>
        <w:tc>
          <w:tcPr>
            <w:tcW w:w="915" w:type="dxa"/>
            <w:noWrap w:val="0"/>
            <w:vAlign w:val="center"/>
          </w:tcPr>
          <w:p w14:paraId="0EB3F0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C8FF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0BF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95E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4C4A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7E3C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627E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6矿区绿化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18E8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2E565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可绿化区域实现全覆盖，且无大面积表土裸露。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40765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26DF7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不宜进行绿化区域以外的区域</w:t>
            </w:r>
          </w:p>
        </w:tc>
        <w:tc>
          <w:tcPr>
            <w:tcW w:w="915" w:type="dxa"/>
            <w:noWrap w:val="0"/>
            <w:vAlign w:val="center"/>
          </w:tcPr>
          <w:p w14:paraId="6C7610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B073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580C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840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A385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1F35B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1A2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7绿化效果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623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75D38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绿化植物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以本土物种为主，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搭配合理，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与周边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环境协调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一致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符合当地气候条件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F1A6D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CA3F5E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07548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8B09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9675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338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4A55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二、资源开采（4项，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527D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开采活动（1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74AF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8开采方式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0BCA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98B0E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 w14:paraId="07A6FA38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/>
              </w:rPr>
              <w:t>采排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计划，尽量减少对地表的破坏。</w:t>
            </w:r>
          </w:p>
          <w:p w14:paraId="30C2AF2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 w14:paraId="426E30D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开采技术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生态环境保护要求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  <w:p w14:paraId="10ED915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26755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331318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开采设计</w:t>
            </w:r>
          </w:p>
        </w:tc>
        <w:tc>
          <w:tcPr>
            <w:tcW w:w="915" w:type="dxa"/>
            <w:noWrap w:val="0"/>
            <w:vAlign w:val="center"/>
          </w:tcPr>
          <w:p w14:paraId="167B1B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4047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5C25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22F2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632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9650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B530B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9开采技术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B81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C43D5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 w14:paraId="4D3BD3FA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①钻孔：采用湿式、干式（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收尘）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凿岩作业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4184167A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②爆破：采用微差爆破、预裂爆破、光面爆破等爆破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4A30854C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27355E94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④排土：生产期采用分期内排技术，最大化利用内排土场排土，减少外部土地占用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 w14:paraId="7B157EBB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 w14:paraId="1CD771E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 w14:paraId="3D01AA13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充填法、保水开采等技术进行地下开采，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07243161"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利用采空区规模化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环保化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处置尾矿、废石、煤矸石等，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6816CD37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③应用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开采、深部开采等先进开采技术，得2分。</w:t>
            </w:r>
          </w:p>
          <w:p w14:paraId="15F7E28C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 w14:paraId="1BA0C926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等：</w:t>
            </w:r>
          </w:p>
          <w:p w14:paraId="14691900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①采用电动钻机及顶驱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等钻井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装置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 w14:paraId="460F6754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快、控压等钻井技术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 w14:paraId="3AFDF642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③采用环保型钻井液及循环利用技术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 w14:paraId="67FC0415"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④及时无害化处置钻井泥浆等钻井废弃物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得2分。</w:t>
            </w:r>
          </w:p>
          <w:p w14:paraId="457B2F8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516D1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FC84F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工艺技术装备资料</w:t>
            </w:r>
          </w:p>
        </w:tc>
        <w:tc>
          <w:tcPr>
            <w:tcW w:w="915" w:type="dxa"/>
            <w:noWrap w:val="0"/>
            <w:vAlign w:val="center"/>
          </w:tcPr>
          <w:p w14:paraId="26A30E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DC9A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AB07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891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3CC4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3F4C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9A0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10开采回采率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9F155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DD13B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开采回采率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EC8D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01F42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自然资源部发布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”指标要求</w:t>
            </w:r>
          </w:p>
        </w:tc>
        <w:tc>
          <w:tcPr>
            <w:tcW w:w="915" w:type="dxa"/>
            <w:noWrap w:val="0"/>
            <w:vAlign w:val="center"/>
          </w:tcPr>
          <w:p w14:paraId="4B2780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29FE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0187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EC6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F419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4E83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开采工作面（5分）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E6C8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11质量要求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E76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4BA64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 w14:paraId="7169BAD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作业平台干净，保持平整、通畅，无杂物、无积水，工作台阶与非工作台阶坡面无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石，非工作台阶滚落物及时清理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 w14:paraId="2532B07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 w14:paraId="3ED1DD7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工作面满足通风、运输、行人、设备安装、检修的需要，支护完好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无较大面积积水、无浮碴、无杂物，材料堆放整齐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 w14:paraId="1A82352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石油天然气等：</w:t>
            </w:r>
          </w:p>
          <w:p w14:paraId="64EBA44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生产作业场地无明显油污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无“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跑冒滴漏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及对井场表层土壤造成污染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钻井废弃物不落地，进行集中无害化处理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 w14:paraId="1BB925E4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★适用于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地热矿泉水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等：</w:t>
            </w:r>
          </w:p>
          <w:p w14:paraId="6F1792A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扣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93FA3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14F8E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5DF23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B429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63B2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BC0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A829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三、资源综合利用（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分；4项1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2E7BA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（1）非金属、化工、黄金、冶金、有色、油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、煤炭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等行业</w:t>
            </w:r>
          </w:p>
        </w:tc>
      </w:tr>
      <w:tr w14:paraId="13A1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9283B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CFB69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AC0A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12选矿加工工艺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B594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7B37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选矿工艺符合设计规范，不得使用国家规定的限制类和淘汰类技术、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工艺和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地热、矿泉水的利用做到资源分级利用、优质优用。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4407E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DC0CB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《煤炭洗选工程设计规范》（GB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50359-2016）等矿山选矿工艺设计规范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11ED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54433D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 w14:paraId="1F1178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E16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6F41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C1C0E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D51A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13选矿回收率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7F18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6B6EB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选矿回收率符合矿产资源合理开发利用“三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D9F1B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07851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7B04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70A160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 w14:paraId="0A96FB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E06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0852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03292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79DB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14共伴生资源综合勘查与评价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1CC7A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9E06F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矿产资源综合勘查评价规范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进行综合勘查、综合评价。符合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5081E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9E281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《矿产资源综合勘查评价规范》（GB/T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25283）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3826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 w14:paraId="1DEE44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 w14:paraId="394C23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713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4A30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A3008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9281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15共伴生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矿产资源综合利用率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229E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0FC3A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共伴生矿产综合利用率达到国家发布的矿产资源合理开发利用“三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920B7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C5AD6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6F071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2A32F4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3B97BB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F3F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1569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F664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8A5D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16对暂不能开采利用的矿产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2A2BC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1E76C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对暂不能开采利用的共伴生矿产采取保护措施。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45824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0834A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，矿山设计，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018E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1786AB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664ED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51E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5D44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53F1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3固废综合利用（3分）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65A9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17工业固废处置与利用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DF95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D41CA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通过回填、铺路、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等方式充分利用固体废弃物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剥离表土用于土地复垦、生态修复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1分（无表土的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，直接得1分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渗滤液收集、废水处理、地下水环境监测等尾矿库污染防治设施符合相关法规标准要求，得0.5分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9456E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89D38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D4350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139057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4855876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6C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93D8F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1E4C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15EF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18回收提取有价元素/有用矿物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14C1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47F91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鼓励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尾矿、煤矸石、废石等固体废弃物中提取有价元素或有用矿物。符合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3DE45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86F3D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生产报表、销售报表、财务报表等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D639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4C25F9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35A572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A79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D4BA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B083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45C1F0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4废水综合利用（5分）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21BA6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19生产废水综合利用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006B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C3B4F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①配备完备的废水处理设施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1分。</w:t>
            </w:r>
          </w:p>
          <w:p w14:paraId="4BB8912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②采用洁净化、资源化技术工艺合理处置矿井水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废水、尾水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得1分。煤矿、黄金等行业矿井水处置率达到100%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  <w:p w14:paraId="2F68082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③选矿废水循环利用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得1分。煤矿矿井水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利用率达到相关标准，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冶金选矿废水循环利用率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非金属矿山选矿废水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85%，化工行业选矿回水利用率达到100%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地热矿泉水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尾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废水集中处理达标后外排或回灌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9196F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8E2D2D">
            <w:pPr>
              <w:widowControl w:val="0"/>
              <w:numPr>
                <w:ilvl w:val="0"/>
                <w:numId w:val="0"/>
              </w:numPr>
              <w:snapToGrid w:val="0"/>
              <w:ind w:left="-22" w:firstLine="25" w:firstLineChars="1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煤炭采选业清洁生产评价指标体系》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4170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892ED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8B41E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0C3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E545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C223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121F1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20生活污水综合利用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C4A5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5A8B8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①配备生活污水处理系统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</w:t>
            </w:r>
          </w:p>
          <w:p w14:paraId="20DBFF2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C0A7F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80D057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F928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61C824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0D5EAA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7DE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1E2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5021D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（2）砂石、水泥灰岩、建筑石材等行业</w:t>
            </w:r>
          </w:p>
        </w:tc>
      </w:tr>
      <w:tr w14:paraId="520D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4813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76D4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9A2C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21开采加工等相关产物综合利用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5112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D374D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 w14:paraId="16C535F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充分利用石粉、泥粉等矿山开采或加工产物，提高资源化利用水平，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环境治理、土地复垦和土壤改良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 w14:paraId="61A2B1E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 w14:paraId="26FF26C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产各类产物资源化利用，实现资源分级利用、优质优用，实现高品位矿石与低品位矿石、夹层、顶底板围岩等综合利用。符合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FCC8F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58410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  <w:p w14:paraId="0FC7B5C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5F6F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0114A1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2699EA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EB1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62E7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89ACD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2固废综合利用（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309B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22土质剥离物的综合利用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E491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4757E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 w14:paraId="0D3D452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排土场堆放的剥离表土或筛分后的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碴土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、废石等，用于环境治理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土地复垦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、生态修复等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 w14:paraId="349356C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 w14:paraId="4737AC0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将符合要求的土质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剥离物用作硅铝质原料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或用于土地复垦，其他剥离物用作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水泥配料、砂石骨料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或其他工程用料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748B6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A4AFAD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2545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CA834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DEF4C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7EB3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8D7F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AB64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3废水综合利用（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3FF7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23生产废水处置与利用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476E5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FB536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①配备完善的生产废水处理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2分；</w:t>
            </w:r>
          </w:p>
          <w:p w14:paraId="43FE77E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②废水经固液分离处理后，清水得到有效循环利用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得2分。砂石清水循环利用率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2B3BD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976506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AD3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47FFC1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511083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7454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A81C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E1A1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7D34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24生活污水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DE3F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51E7C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①配备生活污水处理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 w14:paraId="34A08E8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得4分。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51B2F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A8549F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1527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96F19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AB66D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26EE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6563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345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1节约集约用地（2分）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77A8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25节约集约用地情况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AB69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0F5E1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E2A11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9772D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《节约集约利用土地规定（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2019年修正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）》《工业项目用地控制指标》《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自然资源部办公厅关于规范开展建设项目节地评价工作的通知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》（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自然资办发〔2021〕14号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30E3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 w14:paraId="171258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6FF02D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CD3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BA9D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FF30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 w14:paraId="08D0C0E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5CC3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能源管理体系</w:t>
            </w:r>
          </w:p>
          <w:p w14:paraId="1CFD4E9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C846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253C3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有年度能源管理计划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建立全过程能耗管理体系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取得能源管理体系认证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得分不超过1分。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62E31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0A2D8C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能耗核算体系文件或台账，能源管理体系证书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2D37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E6E9E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39CBCD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01C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CAC96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2" w:type="dxa"/>
            <w:gridSpan w:val="2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C837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75FA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88EA2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45FFD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能耗逐年降低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644CC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91B69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能耗台账、各行业单位产品能源消耗限额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3ADC4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39B7653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3C0589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D37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3CBF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A746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减碳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C659D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D6D18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E6F4D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对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得2分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未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40046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94652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《工业企业温室气体排放核算和报告通则》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GB/T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/T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38EA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5F8CD2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20BD8B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906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DAA7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CAB64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4源头预防（5分）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C3FA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地下水环境状况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E7693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E322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27B2B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CFECB7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土壤环境管理办法（试行）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14848）、《污染地块地下水修复和风险管控技术导则》（HJ 25.6）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2A5D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39BFBF7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2C6096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0835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6B5A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06846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0B9A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酸性废水源头预防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C20A5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74CC9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评估预测矿山关闭酸性废水产生量及对周边环境影响，在开采和闭矿前综合采用雨水导排、补给控制、矿山回填等措施，预防酸性废水大量产生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5845A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F41D5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53A2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2C2E853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0A8777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A5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757A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305C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2CD53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0526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84045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D0834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7D94CE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土壤环境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管理办法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（试行）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GB 18599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ADD6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42A4191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58F343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C63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DCDC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4F174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818C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土壤污染隐患排查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4241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7F9AC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分（未列入土壤污染重点监管单位的企业本项直接得分）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62AAD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2A3ED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E7D9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6D866B1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5C0715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FDF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7B9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5AAB3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EDE93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固废排放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A316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AE8B8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对无法实现综合利用的固体废弃物，划分危险废物、一般废物和生活垃圾不同类别，实现分级分类，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堆场、尾矿库污染防治设施符合相关法规标准要求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或委托第三方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对危险废物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进行处置。符合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B54BD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E6E1D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《中华人民共和国固体废物污染环境防治法》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一般工业固体废物贮存、处置场污染控制标准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(GB 18599)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危险废物焚烧、贮存、填埋污染控制标准(GB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18484、18597、18598)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0122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2F85F6FF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041B16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EFC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A88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EF820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2C4A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废水排放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C58B3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2F66A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尾矿库、排土场等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建有雨水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（排）水沟，地表径流水、淋溶水等经沉淀后达标排放或处理回用。符合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2FE17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BD236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国家水污染物排放标准（GB 8978、GB 20426、GB 25465、GB 25466、GB 25467、GB 25468、GB 26451、GB 28661、GB 30770等）以及所在省（自治区、直辖市）人民政府发布实施的地方水污染物排放标准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DFC83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1D894909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68EE11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C88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26A7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37C1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5D07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废气排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BAE98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A6455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在开采、加工、运输、贮存等环节，采取除尘捕尘、抑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降尘、净化废气等措施，实现达标排放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开采过程中的大气污染物排放应符合国家或地方相应排放标准。凿岩作业采用降尘措施，爆破作业喷雾洒水降尘，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生产区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配置洒水车定时洒水降尘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，配备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地面运输车辆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洗车台，对出厂车辆进行清洗，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外运产品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途中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，废石或矿石周转场地、贮存场所具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防扬尘设施。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矿区建筑物上无明显积尘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，矿区周边植被无明显粉尘覆盖。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对矿区粉尘进行定期监测。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40E86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25EA8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国家大气污染物排放标准（GB 4915、GB 9078、GB 16297、GB 20426、GB 25465、GB 25466、GB 25467、GB 25468、GB 26451、GB 28661、GB 30770、GB 41618等）以及所在省（自治区、直辖市）人民政府发布实施的地方大气污染物排放标准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335B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7ECB388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21D668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2A7A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879C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2CA8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23216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移动源控制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206D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5FF74C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B54F8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914357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《深入打好重污染天气消除、臭氧污染防治和柴油货车污染治理攻坚战行动方案》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（生态环境部〔202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号公告）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D477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 w14:paraId="1CC89AB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EAE94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D5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7B4A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63802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60C5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噪声排放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84ECF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96D12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对矿区凿岩、破碎和空压等高噪声设备进行降噪处理，配备消声、减振和隔振等措施，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对厂界噪声进行定期监测。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85014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D5899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12348-2008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C54C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6D324C4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83595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416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BA14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五、生态修复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6860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1矿山地质环境治理恢复与土地复垦（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56D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矿山地质环境保护与土地复垦方案编制与执行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F3E3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629F0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已通过审查并在适用期；依据《矿山地质环境保护与土地复垦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89A9D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8D3DB4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《矿山地质环境保护与土地复垦方案》及年度计划、《土地复垦质量控制标准》(TD/T 1036) 、《矿山生态修复技术规范》(TD/T 1070)等标准规范。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298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0C79934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71E112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4ED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16B7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E4DC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74A1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矿山地质环境治理恢复基金计提使用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FAF5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A8C777"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按相关规定及标准足额计提矿山地质环境治理恢复基金并规范使用，统筹用于开展矿山地质环境治理恢复和土地复垦。符合要求得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A445B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066F0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《矿山地质环境保护与土地复垦方案》及年度计划、基金监管政策文件及标准规范，其他证明材料等。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23B94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456834A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4321AC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55F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28F0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5CB44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2治理要求（5分）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56D2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治理效果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4144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465CC"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设永久排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矸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符合要求。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治理后的各类场地对周边环境不产生污染，与周边自然环境相协调，周边水体质量恢复至原水平，区域生态功能得到保护和恢复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DBDD9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3D9AD4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《土地复垦质量控制标准》(TD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1036)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、《生态保护修复成效评估技术指南（试行）》（HJ 1272—2022），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其他文件证明材料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C1956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43902F7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40F1D1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BFD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9958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D930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矿山环境动态监测（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FABF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动态监测要求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6F94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BD903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建立动态监测体系，对选矿废水、矿井水、尾矿库、矸石山、排土场、废石堆场、地下水等定期进行环境监测，并根据监测结果，采取了有效保护措施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不符合得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4E437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3731F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等相关标准规范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034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6C532C3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1686EB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6658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45C3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E6C1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4C79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DECD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239A3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建立环境管理机制，有完善的环境管理制度，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有环境管理日常监管记录，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采取了环境风险防范措施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获得环境管理体系认证，得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6C97A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31DEC5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1BD1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081406E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09D0A9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5510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6064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六、科技创新与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FB665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1科技创新（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CBB2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DBE93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7E57539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上年度主营业务收入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.5%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；完成环评要求的专项研究，得0.5分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DCA2C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7F626AF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8DD0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046B43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5CF442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2CF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C736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598BE9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109F6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成果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D89B5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945D4F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发明专利得0.5分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入选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，最多得2分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获得高新技术企业证书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B4106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9CED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2665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CAEA86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355186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997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E37E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060BA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2数字化矿山（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2E12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2828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796AEF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能够将远程监控系统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自动控制系统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储量管理系统、生态环境监测管理系统等集中在大屏幕展示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，发现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一项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不符合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扣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0.5分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1A78A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A3913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A383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4BD0036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1D7E44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3732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9C2E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A59B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C34E4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应用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3E645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05C819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按照</w:t>
            </w:r>
            <w:r>
              <w:rPr>
                <w:rFonts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智能矿山建设规范》（DZ/T 0376-2021）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等标准开展智能矿山建设。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321FC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F011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《智能矿山建设规范》（DZ/T 0376-2021）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975F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28DC17E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1F8AF4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FE1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D62D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F448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 w14:paraId="21B2B5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F0FF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9AB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23EBF0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制定绿色矿山建设年度计划，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定期开展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制作绿色矿山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宣传展板、标语和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建立人员目视化管理制度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职工收入随企业业绩同步增长机制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职工休闲、娱乐、文化体育设施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开展活动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职工满意度不低于70%。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发现一项不符合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9F2ED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2C61D6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企业管理文件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、自评材料、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活动证明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、证书、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调查问卷原始记录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6775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3B0257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477778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1554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32F5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431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1B9D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19B8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569799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8EC9F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8F1DD3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CD8F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 w14:paraId="447F741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489467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 w14:paraId="4EF5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32B7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F8B1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209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3FCA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8C042E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建立职业健康管理制度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地关系，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制定和公开申诉回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，具有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利益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相关者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间的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一个及以上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方面开展帮扶，助力乡村振兴。符合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80698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FE7FD2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文件、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129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 w14:paraId="57BD10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 w14:paraId="008CCC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 w14:paraId="2AC1E709">
      <w:pPr>
        <w:ind w:left="0" w:leftChars="0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567CFDB0">
      <w:pPr>
        <w:ind w:left="-567" w:leftChars="-27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说 明</w:t>
      </w:r>
    </w:p>
    <w:p w14:paraId="1624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绿色矿山建设评价指标》包含先决条件和评分表两部分。先决条件属于否决项，有一项达不到要求，则不能参与绿色矿山遴选工作，各省（区、市）可根据实际情况依法依规增加否决项。</w:t>
      </w:r>
    </w:p>
    <w:p w14:paraId="13F6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一、计分办法与达标说明</w:t>
      </w:r>
    </w:p>
    <w:p w14:paraId="25E4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（一）评价指标共4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分约束性指标、提升性指标两类，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分别从矿区环境、资源开采、资源综合利用、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绿色低碳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、生态修复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、科技创新与规范管理六个方面对绿色矿山建设水平进行评分。</w:t>
      </w:r>
    </w:p>
    <w:p w14:paraId="5B8C2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（二）约束性指标共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项，所有约束性指标必须得满分，若一项不得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分则不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。提升性指标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项，体现差异性，按评分表内的评分说明进行评分。</w:t>
      </w:r>
    </w:p>
    <w:p w14:paraId="29853F4F">
      <w:pPr>
        <w:ind w:firstLine="640" w:firstLineChars="200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涉及项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计分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经判定某项指标属于不涉及项的，按大类采用折合法计分。不涉及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/>
        </w:rPr>
        <w:t>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在评分表中明确说明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判定依据和理由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3D5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评价指标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总分100分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总得分原则上不低于80分，各省（区、市）自然资源管理部门可在综合要求不降低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前提下，根据各地实际情况适当调整具体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达标线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22A8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二、评分说明</w:t>
      </w:r>
    </w:p>
    <w:p w14:paraId="6913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（一）某一指标评分说明属于扣分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该项分值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。某一指标评分说明属于增分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增至该项总分。</w:t>
      </w:r>
    </w:p>
    <w:p w14:paraId="7EBA0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（二）所有得分必须有依据并要保留证明材料，在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栏里写明得到相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分值的原因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缺少支撑材料或证明材料不得分。如需填写内容较多，可在评估报告中重点描述。</w:t>
      </w:r>
    </w:p>
    <w:p w14:paraId="4558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（三）对于集中建设的选矿加工等配套系统，应明确关联关系，可统一纳入评估考虑。</w:t>
      </w:r>
    </w:p>
    <w:p w14:paraId="72D2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（四）对于调查问卷、现场考核、专家打分取平均值等评估方式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需要在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说明里进行详细描述。</w:t>
      </w:r>
    </w:p>
    <w:p w14:paraId="2364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（五）需要现场查看的内容，在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里应写明哪些工作人员到什么现场看了什么内容（设备、设施、厂地、环境、现场等）。</w:t>
      </w:r>
    </w:p>
    <w:p w14:paraId="67D306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F26D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color w:val="000000"/>
        <w:sz w:val="21"/>
        <w:szCs w:val="21"/>
        <w:lang w:val="en-US" w:eastAsia="zh-CN" w:bidi="ar-SA"/>
      </w:rPr>
    </w:pPr>
    <w:r>
      <w:rPr>
        <w:rFonts w:ascii="Calibri" w:hAnsi="Calibri" w:eastAsia="宋体" w:cs="Calibri"/>
        <w:color w:val="000000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CACEE">
                          <w:pP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CACEE">
                    <w:pP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00000000"/>
    <w:rsid w:val="0C2E3C36"/>
    <w:rsid w:val="17FF3F29"/>
    <w:rsid w:val="1DFF0FD8"/>
    <w:rsid w:val="1FDF6E5F"/>
    <w:rsid w:val="2F4B3BEC"/>
    <w:rsid w:val="2FF75DEF"/>
    <w:rsid w:val="39FF050F"/>
    <w:rsid w:val="3DF88B09"/>
    <w:rsid w:val="3EAB0813"/>
    <w:rsid w:val="3EE3E7CD"/>
    <w:rsid w:val="3F5E7B73"/>
    <w:rsid w:val="3FBE5D23"/>
    <w:rsid w:val="3FBFFCA5"/>
    <w:rsid w:val="3FF35094"/>
    <w:rsid w:val="574E8118"/>
    <w:rsid w:val="5BD462C2"/>
    <w:rsid w:val="5D7EA438"/>
    <w:rsid w:val="5EFA7CCD"/>
    <w:rsid w:val="61E7EF69"/>
    <w:rsid w:val="6B7B8B53"/>
    <w:rsid w:val="6DB5EC70"/>
    <w:rsid w:val="6FDB700B"/>
    <w:rsid w:val="734A874B"/>
    <w:rsid w:val="73697162"/>
    <w:rsid w:val="755D3217"/>
    <w:rsid w:val="75ED5D32"/>
    <w:rsid w:val="76F7C8A6"/>
    <w:rsid w:val="777D7236"/>
    <w:rsid w:val="77CDB37E"/>
    <w:rsid w:val="77FFA91D"/>
    <w:rsid w:val="7856695F"/>
    <w:rsid w:val="789732E1"/>
    <w:rsid w:val="78FE481A"/>
    <w:rsid w:val="7B967CA5"/>
    <w:rsid w:val="7BC76C74"/>
    <w:rsid w:val="7BDA2F67"/>
    <w:rsid w:val="7C013D37"/>
    <w:rsid w:val="7DFE0A70"/>
    <w:rsid w:val="7E7FA182"/>
    <w:rsid w:val="7EA88ECF"/>
    <w:rsid w:val="7EDFE6A7"/>
    <w:rsid w:val="7F57255E"/>
    <w:rsid w:val="7FC5E823"/>
    <w:rsid w:val="7FCE7C49"/>
    <w:rsid w:val="7FDCD5F5"/>
    <w:rsid w:val="7FEB5850"/>
    <w:rsid w:val="7FFF820D"/>
    <w:rsid w:val="8CE3016F"/>
    <w:rsid w:val="99FAF632"/>
    <w:rsid w:val="9E1DDE32"/>
    <w:rsid w:val="9FBFABA8"/>
    <w:rsid w:val="AFDC2C70"/>
    <w:rsid w:val="B62F3C99"/>
    <w:rsid w:val="B997F93D"/>
    <w:rsid w:val="BA7B23C6"/>
    <w:rsid w:val="BEA6B462"/>
    <w:rsid w:val="BFEB3481"/>
    <w:rsid w:val="CD3EDDE9"/>
    <w:rsid w:val="D2DB9DAA"/>
    <w:rsid w:val="D7B50B9C"/>
    <w:rsid w:val="DCF54A05"/>
    <w:rsid w:val="DD15FF32"/>
    <w:rsid w:val="DEED6F57"/>
    <w:rsid w:val="DF3F34A4"/>
    <w:rsid w:val="DF7F4D84"/>
    <w:rsid w:val="DFE3E63B"/>
    <w:rsid w:val="DFEF5BD4"/>
    <w:rsid w:val="DFF4945E"/>
    <w:rsid w:val="DFFCCCAF"/>
    <w:rsid w:val="DFFD2935"/>
    <w:rsid w:val="E9DD2A2B"/>
    <w:rsid w:val="EEF6DF70"/>
    <w:rsid w:val="EF571D7B"/>
    <w:rsid w:val="EFBFECA4"/>
    <w:rsid w:val="F2FFB154"/>
    <w:rsid w:val="F38D895D"/>
    <w:rsid w:val="F3F54342"/>
    <w:rsid w:val="F77E5F01"/>
    <w:rsid w:val="F9CF8CB2"/>
    <w:rsid w:val="FAEB9989"/>
    <w:rsid w:val="FAF41D82"/>
    <w:rsid w:val="FB7E255A"/>
    <w:rsid w:val="FBEEA2CD"/>
    <w:rsid w:val="FBFF5A5B"/>
    <w:rsid w:val="FC661A48"/>
    <w:rsid w:val="FC9A1EE1"/>
    <w:rsid w:val="FDD7A529"/>
    <w:rsid w:val="FDFE0401"/>
    <w:rsid w:val="FE734873"/>
    <w:rsid w:val="FFBFE80A"/>
    <w:rsid w:val="FFE7D486"/>
    <w:rsid w:val="FFF93735"/>
    <w:rsid w:val="FFFD9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3"/>
    </w:pPr>
    <w:rPr>
      <w:rFonts w:ascii="Times New Roman" w:hAnsi="Times New Roman" w:eastAsia="宋体" w:cs="Times New Roman"/>
      <w:b/>
      <w:bCs/>
      <w:kern w:val="2"/>
      <w:sz w:val="30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9112</Words>
  <Characters>9556</Characters>
  <Lines>0</Lines>
  <Paragraphs>0</Paragraphs>
  <TotalTime>7</TotalTime>
  <ScaleCrop>false</ScaleCrop>
  <LinksUpToDate>false</LinksUpToDate>
  <CharactersWithSpaces>9648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张张</cp:lastModifiedBy>
  <dcterms:modified xsi:type="dcterms:W3CDTF">2024-08-08T00:40:17Z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D7A5C97DFAA340C7A28E0F54B370BF7F_13</vt:lpwstr>
  </property>
</Properties>
</file>