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教案</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10 三峡</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初中 八年级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语文</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语文 人教部编版 八年级 上学期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10 三峡</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教材解读</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ind w:firstLine="480"/>
                    <w:jc w:val="both"/>
                  </w:pPr>
                  <w:r>
                    <w:rPr>
                      <w:rFonts w:ascii="仿宋" w:hAnsi="仿宋" w:cs="仿宋" w:eastAsia="仿宋"/>
                      <w:sz w:val="28"/>
                      <w:shd w:fill="FFFFFF" w:val="clear"/>
                    </w:rPr>
                    <w:t>部编版初中语文八年级上册一共安排了两个文言诗文单元，旨在让学生通过学习，初步了解我国古代优秀文化，感受古代文学作品的美，提升学习古代散文和诗歌的兴趣。</w:t>
                  </w:r>
                </w:p>
                <w:p>
                  <w:pPr>
                    <w:pStyle w:val="null18"/>
                    <w:ind w:firstLine="480"/>
                    <w:jc w:val="both"/>
                  </w:pPr>
                  <w:r>
                    <w:rPr>
                      <w:rFonts w:ascii="仿宋" w:hAnsi="仿宋" w:cs="仿宋" w:eastAsia="仿宋"/>
                      <w:sz w:val="28"/>
                      <w:shd w:fill="FFFFFF" w:val="clear"/>
                    </w:rPr>
                    <w:t>《三峡》是部编版初中语文教材八年级上册第三单元的内容，是八年级文言诗文单元的第一课。该单元导读中提出：学生要借助注释和工具书，整体感知内容大意；反复诵读，借助联想与想象，进入诗文的意境，感受山川风物之灵秀，体会作者寄寓其中的情怀。本单元所选的文言文，都是我国古代歌咏自然山水的优秀篇章，诗文都具有情景交融的特点。其中，《三峡》是郦道元描绘三峡风光的游记散文，作者以凝练又生动的笔墨，描绘了三峡的雄奇险峻、清幽秀丽的景色，抒发了热爱祖国河山的情怀。因此，本文不仅是学生熟悉积累常用文言词语和文言句式的好材料，也是初步培养学生鉴赏能力、热爱祖国的情感，提高文化品位和审美情趣的好文章。</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学情分析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ind w:firstLine="480"/>
                    <w:jc w:val="both"/>
                  </w:pPr>
                  <w:r>
                    <w:rPr>
                      <w:rFonts w:ascii="仿宋" w:hAnsi="仿宋" w:cs="仿宋" w:eastAsia="仿宋"/>
                      <w:sz w:val="28"/>
                      <w:shd w:fill="FFFFFF" w:val="clear"/>
                    </w:rPr>
                    <w:t>根据</w:t>
                  </w:r>
                  <w:r>
                    <w:rPr>
                      <w:rFonts w:ascii="仿宋" w:hAnsi="仿宋" w:cs="仿宋" w:eastAsia="仿宋"/>
                      <w:sz w:val="28"/>
                      <w:shd w:fill="FFFFFF" w:val="clear"/>
                    </w:rPr>
                    <w:t>2022年《义务教育语文课程标准》提出的学段要求，本阶段的学生要能读懂浅易文言文，能够借助注释和工具书理解基本内容。经过以往的学习，学生对于文言文的阅读与学习掌握了一定的步骤。所以,本文可以侧重引导学生运用已有的知识进行品读分析。但该阶段部分学生存在不自信、羞于表现等思想顾虑，同时又希望得到他人的肯定，因此,需要教师在教学过程中多鼓励和指导。八年级学生经过七年级一年的文言文学习，已经积累了一些文言词语，对文言文的学习有了一定的基础，但由于文言文年代久远，与学生的认知和积累存在距离，学生学习文言文的积极性不高，所以教师应多加引导，创设轻松愉悦的学习情境，鼓励学生自主、合作、探究学习。</w:t>
                  </w:r>
                </w:p>
                <w:p>
                  <w:pPr>
                    <w:pStyle w:val="null19"/>
                    <w:ind w:firstLine="480"/>
                    <w:jc w:val="both"/>
                  </w:pPr>
                  <w:r>
                    <w:rPr>
                      <w:rFonts w:ascii="仿宋" w:hAnsi="仿宋" w:cs="仿宋" w:eastAsia="仿宋"/>
                      <w:sz w:val="28"/>
                      <w:shd w:fill="FFFFFF" w:val="clear"/>
                    </w:rPr>
                    <w:t>本班是智慧课堂信息班，班级日常是利用平板开展教学，学生对平板的操作较为熟练。鉴于此基础，本课旨在让学生借助先进的信息技术平台和丰富多样的媒体资源，通过情境创设、</w:t>
                  </w:r>
                  <w:r>
                    <w:rPr>
                      <w:rFonts w:ascii="仿宋" w:hAnsi="仿宋" w:cs="仿宋" w:eastAsia="仿宋"/>
                      <w:sz w:val="28"/>
                      <w:shd w:fill="FFFFFF" w:val="clear"/>
                    </w:rPr>
                    <w:t>“教-学-评”一体化等方法，激发学生的学习兴趣，走进三峡山水画卷，感知作者文中寄寓的情怀，让学生做到不仅眼中有三峡，心中也有三峡，从而引起学生心灵共鸣，逐步提升语文核心素养。</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教学工具</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ind w:firstLine="480"/>
                    <w:jc w:val="both"/>
                  </w:pPr>
                  <w:r>
                    <w:rPr>
                      <w:rFonts w:ascii="仿宋" w:hAnsi="仿宋" w:cs="仿宋" w:eastAsia="仿宋"/>
                      <w:sz w:val="28"/>
                    </w:rPr>
                    <w:t>101智慧课堂平台、希沃白板5、学生学习平板</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numPr>
                      <w:ilvl w:val="0"/>
                      <w:numId w:val="2"/>
                    </w:numPr>
                    <w:jc w:val="both"/>
                  </w:pPr>
                  <w:r>
                    <w:rPr>
                      <w:rFonts w:ascii="仿宋" w:hAnsi="仿宋" w:cs="仿宋" w:eastAsia="仿宋"/>
                      <w:sz w:val="28"/>
                    </w:rPr>
                    <w:t>借助联想与想象，结合媒介与情境创设，感受三峡雄伟的气势和奇丽的景色</w:t>
                  </w:r>
                  <w:r>
                    <w:rPr>
                      <w:rFonts w:ascii="仿宋" w:hAnsi="仿宋" w:cs="仿宋" w:eastAsia="仿宋"/>
                      <w:sz w:val="28"/>
                    </w:rPr>
                    <w:t>。</w:t>
                  </w:r>
                </w:p>
                <w:p>
                  <w:pPr>
                    <w:pStyle w:val="null21"/>
                    <w:numPr>
                      <w:ilvl w:val="0"/>
                      <w:numId w:val="2"/>
                    </w:numPr>
                    <w:jc w:val="both"/>
                  </w:pPr>
                  <w:r>
                    <w:rPr>
                      <w:rFonts w:ascii="仿宋" w:hAnsi="仿宋" w:cs="仿宋" w:eastAsia="仿宋"/>
                      <w:sz w:val="28"/>
                    </w:rPr>
                    <w:t>通过朗读、赏读、悟读等方式，理解文本，感知郦道元笔下的山水画意</w:t>
                  </w:r>
                  <w:r>
                    <w:rPr>
                      <w:rFonts w:ascii="仿宋" w:hAnsi="仿宋" w:cs="仿宋" w:eastAsia="仿宋"/>
                      <w:sz w:val="28"/>
                    </w:rPr>
                    <w:t>。</w:t>
                  </w:r>
                </w:p>
                <w:p>
                  <w:pPr>
                    <w:pStyle w:val="null21"/>
                    <w:numPr>
                      <w:ilvl w:val="0"/>
                      <w:numId w:val="2"/>
                    </w:numPr>
                    <w:jc w:val="both"/>
                  </w:pPr>
                  <w:r>
                    <w:rPr>
                      <w:rFonts w:ascii="仿宋" w:hAnsi="仿宋" w:cs="仿宋" w:eastAsia="仿宋"/>
                      <w:sz w:val="28"/>
                    </w:rPr>
                    <w:t>在轻松、和谐的学习氛围中开展自主、合作、探究学习，感受郦道元对于祖国大好河山的热爱，培养对祖国山河的文化自信。</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教学重难点</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2"/>
                    <w:ind w:firstLine="480"/>
                    <w:jc w:val="both"/>
                  </w:pPr>
                  <w:r>
                    <w:rPr>
                      <w:rFonts w:ascii="仿宋" w:hAnsi="仿宋" w:cs="仿宋" w:eastAsia="仿宋"/>
                      <w:sz w:val="28"/>
                      <w:shd w:fill="FFFFFF" w:val="clear"/>
                    </w:rPr>
                    <w:t>重点：借助情境创设，感受三峡雄伟的气势和奇丽的景色。</w:t>
                  </w:r>
                </w:p>
                <w:p>
                  <w:pPr>
                    <w:pStyle w:val="null22"/>
                    <w:ind w:firstLine="480"/>
                    <w:jc w:val="both"/>
                  </w:pPr>
                  <w:r>
                    <w:rPr>
                      <w:rFonts w:ascii="仿宋" w:hAnsi="仿宋" w:cs="仿宋" w:eastAsia="仿宋"/>
                      <w:sz w:val="28"/>
                    </w:rPr>
                    <w:t>难点：感受并能描述《三峡》的山水画意。</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教学方法</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3"/>
                    <w:numPr>
                      <w:ilvl w:val="0"/>
                      <w:numId w:val="3"/>
                    </w:numPr>
                    <w:jc w:val="both"/>
                  </w:pPr>
                  <w:r>
                    <w:rPr>
                      <w:rFonts w:ascii="仿宋" w:hAnsi="仿宋" w:cs="仿宋" w:eastAsia="仿宋"/>
                      <w:sz w:val="28"/>
                      <w:shd w:fill="FFFFFF" w:val="clear"/>
                    </w:rPr>
                    <w:t>诵读品味法：诵读是语文教学的不二法门。本课以诵读为主要教学方法，通过不同形式的诵读，学生可以感受诗歌的音韵美，提高诗歌的欣赏品味和审美情趣。</w:t>
                  </w:r>
                </w:p>
                <w:p>
                  <w:pPr>
                    <w:pStyle w:val="null23"/>
                    <w:numPr>
                      <w:ilvl w:val="0"/>
                      <w:numId w:val="3"/>
                    </w:numPr>
                    <w:jc w:val="both"/>
                  </w:pPr>
                  <w:r>
                    <w:rPr>
                      <w:rFonts w:ascii="仿宋" w:hAnsi="仿宋" w:cs="仿宋" w:eastAsia="仿宋"/>
                      <w:sz w:val="28"/>
                      <w:shd w:fill="FFFFFF" w:val="clear"/>
                    </w:rPr>
                    <w:t>情境创设法：情境教学法是新课程标准所倡导的一种有效而又十分可行的学习方式，本课营造</w:t>
                  </w:r>
                  <w:r>
                    <w:rPr>
                      <w:rFonts w:ascii="仿宋" w:hAnsi="仿宋" w:cs="仿宋" w:eastAsia="仿宋"/>
                      <w:sz w:val="28"/>
                      <w:shd w:fill="FFFFFF" w:val="clear"/>
                    </w:rPr>
                    <w:t>VR体验的教学情境，激发学生学习兴趣，从而在情境中完成学习任务，感受三峡的山水画意。</w:t>
                  </w:r>
                </w:p>
                <w:p>
                  <w:pPr>
                    <w:pStyle w:val="null23"/>
                    <w:numPr>
                      <w:ilvl w:val="0"/>
                      <w:numId w:val="3"/>
                    </w:numPr>
                    <w:jc w:val="both"/>
                  </w:pPr>
                  <w:r>
                    <w:rPr>
                      <w:rFonts w:ascii="仿宋" w:hAnsi="仿宋" w:cs="仿宋" w:eastAsia="仿宋"/>
                      <w:sz w:val="28"/>
                      <w:shd w:fill="FFFFFF" w:val="clear"/>
                    </w:rPr>
                    <w:t>自主合作探究法：在教学过程中设置与情境相关的任务，让学生自主、合作、探究学习，在思想碰撞中体会生疑、矛盾、释惑的学习乐趣。</w:t>
                  </w:r>
                </w:p>
              </w:tc>
            </w:tr>
            <w:tr w14:paraId="033C6714"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104D5ED9" w14:textId="5C4A9EAB">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教学过程</w:t>
                  </w:r>
                </w:p>
              </w:tc>
            </w:tr>
            <w:tr w14:paraId="010689E0" w14:textId="77777777" w:rsidTr="004C580C">
              <w:tblPrEx>
                <w:tblW w:w="5000" w:type="pct"/>
                <w:tblCellMar>
                  <w:top w:w="15" w:type="dxa"/>
                  <w:left w:w="15" w:type="dxa"/>
                  <w:bottom w:w="15" w:type="dxa"/>
                  <w:right w:w="15" w:type="dxa"/>
                </w:tblCellMar>
                <w:tblLook w:val="04A0"/>
              </w:tblPrEx>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4B1F3E" w14:textId="79763B90">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环节</w:t>
                  </w:r>
                </w:p>
              </w:tc>
              <w:tc>
                <w:tcPr>
                  <w:tcW w:w="7721"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FA511D"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过程设计</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paraId="72E3FCA9"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一、前置作业：山水寻“画意”</w:t>
                        </w:r>
                      </w:p>
                    </w:tc>
                  </w:tr>
                </w:tbl>
                <w:p w:rsidR="006977DC" w:rsidRPr="00CE3A7E" w:rsidP="006977DC" w14:paraId="316379D2"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6</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4"/>
                    <w:ind w:firstLine="480"/>
                    <w:jc w:val="both"/>
                  </w:pPr>
                  <w:r>
                    <w:rPr>
                      <w:rFonts w:ascii="仿宋" w:hAnsi="仿宋" w:cs="仿宋" w:eastAsia="仿宋"/>
                      <w:sz w:val="28"/>
                      <w:shd w:fill="FFFFFF" w:val="clear"/>
                    </w:rPr>
                    <w:t>1.通过101智慧课堂平台提前发布课前调查。</w:t>
                  </w:r>
                </w:p>
                <w:p>
                  <w:pPr>
                    <w:pStyle w:val="null24"/>
                    <w:ind w:firstLine="480"/>
                    <w:jc w:val="both"/>
                  </w:pPr>
                  <w:r>
                    <w:rPr>
                      <w:rFonts w:ascii="仿宋" w:hAnsi="仿宋" w:cs="仿宋" w:eastAsia="仿宋"/>
                      <w:sz w:val="28"/>
                      <w:shd w:fill="FFFFFF" w:val="clear"/>
                    </w:rPr>
                    <w:t>（</w:t>
                  </w:r>
                  <w:r>
                    <w:rPr>
                      <w:rFonts w:ascii="仿宋" w:hAnsi="仿宋" w:cs="仿宋" w:eastAsia="仿宋"/>
                      <w:sz w:val="28"/>
                      <w:shd w:fill="FFFFFF" w:val="clear"/>
                    </w:rPr>
                    <w:t>1）你是否去过三峡？</w:t>
                  </w:r>
                </w:p>
                <w:p>
                  <w:pPr>
                    <w:pStyle w:val="null24"/>
                    <w:ind w:firstLine="480"/>
                    <w:jc w:val="both"/>
                  </w:pPr>
                  <w:r>
                    <w:rPr>
                      <w:rFonts w:ascii="仿宋" w:hAnsi="仿宋" w:cs="仿宋" w:eastAsia="仿宋"/>
                      <w:sz w:val="28"/>
                      <w:shd w:fill="FFFFFF" w:val="clear"/>
                    </w:rPr>
                    <w:t>（</w:t>
                  </w:r>
                  <w:r>
                    <w:rPr>
                      <w:rFonts w:ascii="仿宋" w:hAnsi="仿宋" w:cs="仿宋" w:eastAsia="仿宋"/>
                      <w:sz w:val="28"/>
                      <w:shd w:fill="FFFFFF" w:val="clear"/>
                    </w:rPr>
                    <w:t>2）观看《三峡》宣传片。</w:t>
                  </w:r>
                </w:p>
                <w:p>
                  <w:pPr>
                    <w:pStyle w:val="null24"/>
                    <w:ind w:firstLine="480"/>
                    <w:jc w:val="both"/>
                  </w:pPr>
                  <w:r>
                    <w:rPr>
                      <w:rFonts w:ascii="仿宋" w:hAnsi="仿宋" w:cs="仿宋" w:eastAsia="仿宋"/>
                      <w:sz w:val="28"/>
                      <w:shd w:fill="FFFFFF" w:val="clear"/>
                    </w:rPr>
                    <w:t>（</w:t>
                  </w:r>
                  <w:r>
                    <w:rPr>
                      <w:rFonts w:ascii="仿宋" w:hAnsi="仿宋" w:cs="仿宋" w:eastAsia="仿宋"/>
                      <w:sz w:val="28"/>
                      <w:shd w:fill="FFFFFF" w:val="clear"/>
                    </w:rPr>
                    <w:t>3）用一个词概括三峡给你带来的感受。</w:t>
                  </w:r>
                </w:p>
                <w:p>
                  <w:pPr>
                    <w:pStyle w:val="null24"/>
                    <w:ind w:firstLine="480"/>
                    <w:jc w:val="both"/>
                  </w:pPr>
                  <w:r>
                    <w:rPr>
                      <w:rFonts w:ascii="仿宋" w:hAnsi="仿宋" w:cs="仿宋" w:eastAsia="仿宋"/>
                      <w:sz w:val="28"/>
                      <w:shd w:fill="FFFFFF" w:val="clear"/>
                    </w:rPr>
                    <w:t>2.收集前置作业数据，总结学生反馈情况，使用云图汇总学生对三峡的整体初步感受。</w:t>
                  </w:r>
                </w:p>
                <w:p>
                  <w:pPr>
                    <w:pStyle w:val="null24"/>
                    <w:ind w:firstLine="480"/>
                    <w:jc w:val="both"/>
                  </w:pPr>
                  <w:r>
                    <w:rPr>
                      <w:rFonts w:ascii="仿宋" w:hAnsi="仿宋" w:cs="仿宋" w:eastAsia="仿宋"/>
                      <w:sz w:val="28"/>
                      <w:shd w:fill="FFFFFF" w:val="clear"/>
                    </w:rPr>
                    <w:t>3.对同学们前置作业完成情况做出点评与小结。</w:t>
                  </w:r>
                </w:p>
                <w:p>
                  <w:pPr>
                    <w:pStyle w:val="null24"/>
                    <w:ind w:firstLine="480"/>
                    <w:jc w:val="both"/>
                  </w:pPr>
                  <w:r>
                    <w:rPr>
                      <w:rFonts w:ascii="仿宋" w:hAnsi="仿宋" w:cs="仿宋" w:eastAsia="仿宋"/>
                      <w:sz w:val="28"/>
                      <w:shd w:fill="FFFFFF" w:val="clear"/>
                    </w:rPr>
                    <w:t>（</w:t>
                  </w:r>
                  <w:r>
                    <w:rPr>
                      <w:rFonts w:ascii="仿宋" w:hAnsi="仿宋" w:cs="仿宋" w:eastAsia="仿宋"/>
                      <w:sz w:val="28"/>
                      <w:shd w:fill="FFFFFF" w:val="clear"/>
                    </w:rPr>
                    <w:t>技术融合设计和技术使用意图：</w:t>
                  </w:r>
                  <w:r>
                    <w:rPr>
                      <w:rFonts w:ascii="仿宋" w:hAnsi="仿宋" w:cs="仿宋" w:eastAsia="仿宋"/>
                      <w:sz w:val="28"/>
                      <w:shd w:fill="FFFFFF" w:val="clear"/>
                    </w:rPr>
                    <w:t>学生课前通过智慧</w:t>
                  </w:r>
                  <w:r>
                    <w:rPr>
                      <w:rFonts w:ascii="仿宋" w:hAnsi="仿宋" w:cs="仿宋" w:eastAsia="仿宋"/>
                      <w:sz w:val="28"/>
                      <w:shd w:fill="FFFFFF" w:val="clear"/>
                    </w:rPr>
                    <w:t>101学生端完成问卷调查。根据调查问卷反馈，得知本班绝大多数同学没有去过三峡，在此基础上发布《三峡》宣传片视频，让学生进行观看，能够让学生对三峡有一个整体上的认识；让学生用一个词进行感受概括，初步体会三峡山水画卷的画意，并激发学生学习兴趣。）</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二、情境任务：山水显“画意”</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24</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5"/>
                    <w:ind w:firstLine="480"/>
                    <w:jc w:val="both"/>
                  </w:pPr>
                  <w:r>
                    <w:rPr>
                      <w:rFonts w:ascii="仿宋" w:hAnsi="仿宋" w:cs="仿宋" w:eastAsia="仿宋"/>
                      <w:sz w:val="28"/>
                      <w:shd w:fill="FFFFFF" w:val="clear"/>
                    </w:rPr>
                    <w:t>创设</w:t>
                  </w:r>
                  <w:r>
                    <w:rPr>
                      <w:rFonts w:ascii="仿宋" w:hAnsi="仿宋" w:cs="仿宋" w:eastAsia="仿宋"/>
                      <w:sz w:val="28"/>
                      <w:shd w:fill="FFFFFF" w:val="clear"/>
                    </w:rPr>
                    <w:t>“我为三峡绘‘画意’”情境：</w:t>
                  </w:r>
                </w:p>
                <w:p>
                  <w:pPr>
                    <w:pStyle w:val="null25"/>
                    <w:ind w:firstLine="480"/>
                    <w:jc w:val="both"/>
                  </w:pPr>
                  <w:r>
                    <w:rPr>
                      <w:rFonts w:ascii="仿宋" w:hAnsi="仿宋" w:cs="仿宋" w:eastAsia="仿宋"/>
                      <w:sz w:val="28"/>
                      <w:shd w:fill="FFFFFF" w:val="clear"/>
                    </w:rPr>
                    <w:t>国庆虽过，旅游热度不过。十月底，长沙市坡子街三峡一站式</w:t>
                  </w:r>
                  <w:r>
                    <w:rPr>
                      <w:rFonts w:ascii="仿宋" w:hAnsi="仿宋" w:cs="仿宋" w:eastAsia="仿宋"/>
                      <w:sz w:val="28"/>
                      <w:shd w:fill="FFFFFF" w:val="clear"/>
                    </w:rPr>
                    <w:t xml:space="preserve">VR体验馆即将正式营业！现诚邀大家今日一同为VR的制作出谋划策。 </w:t>
                  </w:r>
                </w:p>
                <w:p>
                  <w:pPr>
                    <w:pStyle w:val="null25"/>
                    <w:ind w:firstLine="480"/>
                    <w:jc w:val="both"/>
                  </w:pPr>
                  <w:r>
                    <w:rPr>
                      <w:rFonts w:ascii="仿宋" w:hAnsi="仿宋" w:cs="仿宋" w:eastAsia="仿宋"/>
                      <w:sz w:val="28"/>
                      <w:shd w:fill="FFFFFF" w:val="clear"/>
                    </w:rPr>
                    <w:t>（设计意图：创设与生活贴切的情境，激发学生浓厚学习兴趣，增强学生的学习欲望，使学生更积极参与学习活动。）</w:t>
                  </w:r>
                </w:p>
                <w:p>
                  <w:pPr>
                    <w:pStyle w:val="null25"/>
                    <w:ind w:firstLine="482"/>
                    <w:jc w:val="both"/>
                  </w:pPr>
                  <w:r>
                    <w:rPr>
                      <w:rFonts w:ascii="仿宋" w:hAnsi="仿宋" w:cs="仿宋" w:eastAsia="仿宋"/>
                      <w:b/>
                      <w:sz w:val="28"/>
                      <w:shd w:fill="FFFFFF" w:val="clear"/>
                    </w:rPr>
                    <w:t>1.为VR打造视听盛宴</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1）三峡是一个如诗如画的地方，《三峡》这篇文章也是如诗如画。为了打造这场试听盛宴，我们要思考：究竟要让观众来到我们体验馆，听见怎么的三峡之声呢？</w:t>
                  </w:r>
                </w:p>
                <w:p>
                  <w:pPr>
                    <w:pStyle w:val="null25"/>
                    <w:ind w:firstLine="480"/>
                    <w:jc w:val="both"/>
                  </w:pPr>
                  <w:r>
                    <w:rPr>
                      <w:rFonts w:ascii="仿宋" w:hAnsi="仿宋" w:cs="仿宋" w:eastAsia="仿宋"/>
                      <w:sz w:val="28"/>
                      <w:shd w:fill="FFFFFF" w:val="clear"/>
                    </w:rPr>
                    <w:t>课前老师在</w:t>
                  </w:r>
                  <w:r>
                    <w:rPr>
                      <w:rFonts w:ascii="仿宋" w:hAnsi="仿宋" w:cs="仿宋" w:eastAsia="仿宋"/>
                      <w:sz w:val="28"/>
                      <w:shd w:fill="FFFFFF" w:val="clear"/>
                    </w:rPr>
                    <w:t>“101智慧课堂平台”中布置了朗读任务，老师提前批阅了大家的音频作业，XX同学在课文朗读上得分最高，请这位同学为大家示范朗读并分享她的朗读心得。</w:t>
                  </w:r>
                </w:p>
                <w:p>
                  <w:pPr>
                    <w:pStyle w:val="null25"/>
                    <w:ind w:firstLine="480"/>
                    <w:jc w:val="both"/>
                  </w:pPr>
                  <w:r>
                    <w:rPr>
                      <w:rFonts w:ascii="仿宋" w:hAnsi="仿宋" w:cs="仿宋" w:eastAsia="仿宋"/>
                      <w:sz w:val="28"/>
                      <w:shd w:fill="FFFFFF" w:val="clear"/>
                    </w:rPr>
                    <w:t>（技术融合设计和技术使用意图：学生课前通过智慧</w:t>
                  </w:r>
                  <w:r>
                    <w:rPr>
                      <w:rFonts w:ascii="仿宋" w:hAnsi="仿宋" w:cs="仿宋" w:eastAsia="仿宋"/>
                      <w:sz w:val="28"/>
                      <w:shd w:fill="FFFFFF" w:val="clear"/>
                    </w:rPr>
                    <w:t>101学生端的录音上传功能，上传自己的朗读课文音频，可以及时查看口语测评结果，明确朗读过程中出现的读音、语调和语气等问题。教师根据查看批阅任务，了解学生的朗读表现，推荐优秀学生做朗读示范，学生互相评价，教师针对指导，帮助其他学生纠正读音、语调、语气等。经过此环节，学生不仅能读准字音，读出感情，加深对课文的理解，同时也为接下来赏析课文打下坚实的基础。）</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2）出示VR音频完成评分表，同学们依据朗读脚本内容和朗读表现两个评分维度对这位同学的朗读做出评价。</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3）出示朗读脚本示范、VR音频完成评分表（评价维度：朗读脚本内容、朗读表现）：学习小组依据示范和评分表进行“三峡VR一站式体验馆”朗读音频录制练习，选择自己喜欢的一个自然段，边读边在书本上做好朗读脚本笔记。两分钟自主练习，两分钟同学互评。</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4）小组代表通过“智慧101平台”进行朗读展示、维度点评，教师适时进行点拨。</w:t>
                  </w:r>
                </w:p>
                <w:p>
                  <w:pPr>
                    <w:pStyle w:val="null25"/>
                    <w:ind w:firstLine="480"/>
                    <w:jc w:val="both"/>
                  </w:pPr>
                  <w:r>
                    <w:rPr>
                      <w:rFonts w:ascii="仿宋" w:hAnsi="仿宋" w:cs="仿宋" w:eastAsia="仿宋"/>
                      <w:sz w:val="28"/>
                      <w:shd w:fill="FFFFFF" w:val="clear"/>
                    </w:rPr>
                    <w:t>（技术融合设计和技术使用意图：平板抢答功能的使用，有效增强了学生参与的积极性，活跃了课堂气氛。</w:t>
                  </w:r>
                  <w:r>
                    <w:rPr>
                      <w:rFonts w:ascii="仿宋" w:hAnsi="仿宋" w:cs="仿宋" w:eastAsia="仿宋"/>
                      <w:sz w:val="28"/>
                      <w:shd w:fill="FFFFFF" w:val="clear"/>
                    </w:rPr>
                    <w:t>101智慧平台奖励小红花功能的使用，让评价表扬及时有效，更易于激发学生学习兴趣。）</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5）教师小结：我们要读出《三峡》的山水画意，首段要读出高山连绵的雄浑有力；第二段要读出夏水迅猛的语速急切；第三段要读出春冬秀美的喜悦轻松；尾段要读出秋水凄寒的哀婉惆怅。</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6）全班配乐朗读，为三峡VR录制音频。</w:t>
                  </w:r>
                </w:p>
                <w:p>
                  <w:pPr>
                    <w:pStyle w:val="null25"/>
                    <w:ind w:firstLine="480"/>
                    <w:jc w:val="both"/>
                  </w:pPr>
                  <w:r>
                    <w:rPr>
                      <w:rFonts w:ascii="仿宋" w:hAnsi="仿宋" w:cs="仿宋" w:eastAsia="仿宋"/>
                      <w:sz w:val="28"/>
                      <w:shd w:fill="FFFFFF" w:val="clear"/>
                    </w:rPr>
                    <w:t>（设计意图：基于新课标理念的</w:t>
                  </w:r>
                  <w:r>
                    <w:rPr>
                      <w:rFonts w:ascii="仿宋" w:hAnsi="仿宋" w:cs="仿宋" w:eastAsia="仿宋"/>
                      <w:sz w:val="28"/>
                      <w:shd w:fill="FFFFFF" w:val="clear"/>
                    </w:rPr>
                    <w:t>“教-学-评”一体化设计提高了学生的学习主动性，教师可以更关注学生的学习效果，并及时发现解决学生问题，促进学生的发展，提高学生的自主学习能力，建立良好的评价体系。）</w:t>
                  </w:r>
                </w:p>
                <w:p>
                  <w:pPr>
                    <w:pStyle w:val="null25"/>
                    <w:ind w:firstLine="482"/>
                    <w:jc w:val="both"/>
                  </w:pPr>
                  <w:r>
                    <w:rPr>
                      <w:rFonts w:ascii="仿宋" w:hAnsi="仿宋" w:cs="仿宋" w:eastAsia="仿宋"/>
                      <w:b/>
                      <w:sz w:val="28"/>
                      <w:shd w:fill="FFFFFF" w:val="clear"/>
                    </w:rPr>
                    <w:t xml:space="preserve"> </w:t>
                  </w:r>
                  <w:r>
                    <w:rPr>
                      <w:rFonts w:ascii="仿宋" w:hAnsi="仿宋" w:cs="仿宋" w:eastAsia="仿宋"/>
                      <w:b/>
                      <w:sz w:val="28"/>
                      <w:shd w:fill="FFFFFF" w:val="clear"/>
                    </w:rPr>
                    <w:t>2.为VR打造视感盛宴</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1）三峡真美，《三峡》虽是地理学著作，但实在是一篇韵在骨子里的散文，更是诗，也是画。走进三峡画卷，最令你难忘的究竟是哪一副画面呢？请同学们走入文本，回归“山水画意”，思考你内心中三峡最难忘那一副画面。</w:t>
                  </w:r>
                </w:p>
                <w:p>
                  <w:pPr>
                    <w:pStyle w:val="null25"/>
                    <w:ind w:firstLine="480"/>
                    <w:jc w:val="both"/>
                  </w:pPr>
                  <w:r>
                    <w:rPr>
                      <w:rFonts w:ascii="仿宋" w:hAnsi="仿宋" w:cs="仿宋" w:eastAsia="仿宋"/>
                      <w:sz w:val="28"/>
                      <w:shd w:fill="FFFFFF" w:val="clear"/>
                    </w:rPr>
                    <w:t>示例：我最难忘走进郦道元笔下的那座山，远眺那连绵起伏的群山，仰望隐天蔽日的高峰，吹着轻悄悄的风，看天上白云游荡，闻空气中各种花草的清香，听着泉水叮咚的声音，会产生</w:t>
                  </w:r>
                  <w:r>
                    <w:rPr>
                      <w:rFonts w:ascii="仿宋" w:hAnsi="仿宋" w:cs="仿宋" w:eastAsia="仿宋"/>
                      <w:sz w:val="28"/>
                      <w:shd w:fill="FFFFFF" w:val="clear"/>
                    </w:rPr>
                    <w:t>“会当凌绝顶，一览众山小”的豪情壮志，让人感到斗志昂扬。</w:t>
                  </w:r>
                </w:p>
                <w:p>
                  <w:pPr>
                    <w:pStyle w:val="null25"/>
                    <w:ind w:firstLine="480"/>
                    <w:jc w:val="both"/>
                  </w:pPr>
                  <w:r>
                    <w:rPr>
                      <w:rFonts w:ascii="仿宋" w:hAnsi="仿宋" w:cs="仿宋" w:eastAsia="仿宋"/>
                      <w:sz w:val="28"/>
                      <w:shd w:fill="FFFFFF" w:val="clear"/>
                    </w:rPr>
                    <w:t>（</w:t>
                  </w:r>
                  <w:r>
                    <w:rPr>
                      <w:rFonts w:ascii="仿宋" w:hAnsi="仿宋" w:cs="仿宋" w:eastAsia="仿宋"/>
                      <w:sz w:val="28"/>
                      <w:shd w:fill="FFFFFF" w:val="clear"/>
                    </w:rPr>
                    <w:t>2）四分钟限时写作：写《三峡》中最让你难忘的一副画面，写完后用平板拍照提交。</w:t>
                  </w:r>
                </w:p>
                <w:p>
                  <w:pPr>
                    <w:pStyle w:val="null25"/>
                    <w:ind w:firstLine="480"/>
                    <w:jc w:val="both"/>
                  </w:pPr>
                  <w:r>
                    <w:rPr>
                      <w:rFonts w:ascii="仿宋" w:hAnsi="仿宋" w:cs="仿宋" w:eastAsia="仿宋"/>
                      <w:sz w:val="28"/>
                      <w:shd w:fill="FFFFFF" w:val="clear"/>
                    </w:rPr>
                    <w:t>（技术融合设计和技术使用意图：限时训练中采用希沃白板</w:t>
                  </w:r>
                  <w:r>
                    <w:rPr>
                      <w:rFonts w:ascii="仿宋" w:hAnsi="仿宋" w:cs="仿宋" w:eastAsia="仿宋"/>
                      <w:sz w:val="28"/>
                      <w:shd w:fill="FFFFFF" w:val="clear"/>
                    </w:rPr>
                    <w:t>5的倒计时功能，让学生在规定时间内进行限时训练，提高课堂效率；提交时用平板拍照，分享过程更加可视可感，落实教学难点。）</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三、课后外延：山水续“画意”</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6"/>
                    <w:ind w:firstLine="480"/>
                    <w:jc w:val="both"/>
                  </w:pPr>
                  <w:r>
                    <w:rPr>
                      <w:rFonts w:ascii="仿宋" w:hAnsi="仿宋" w:cs="仿宋" w:eastAsia="仿宋"/>
                      <w:sz w:val="28"/>
                      <w:shd w:fill="FFFFFF" w:val="clear"/>
                    </w:rPr>
                    <w:t>今日的课堂已经结束，但山水画意仍会在我们的心中不断蔓延开来。</w:t>
                  </w:r>
                </w:p>
                <w:p>
                  <w:pPr>
                    <w:pStyle w:val="null26"/>
                    <w:ind w:firstLine="480"/>
                    <w:jc w:val="both"/>
                  </w:pPr>
                  <w:r>
                    <w:rPr>
                      <w:rFonts w:ascii="仿宋" w:hAnsi="仿宋" w:cs="仿宋" w:eastAsia="仿宋"/>
                      <w:sz w:val="28"/>
                      <w:shd w:fill="FFFFFF" w:val="clear"/>
                    </w:rPr>
                    <w:t>作业布置（三选二）：</w:t>
                  </w:r>
                </w:p>
                <w:p>
                  <w:pPr>
                    <w:pStyle w:val="null26"/>
                    <w:ind w:firstLine="480"/>
                    <w:jc w:val="both"/>
                  </w:pPr>
                  <w:r>
                    <w:rPr>
                      <w:rFonts w:ascii="仿宋" w:hAnsi="仿宋" w:cs="仿宋" w:eastAsia="仿宋"/>
                      <w:sz w:val="28"/>
                      <w:shd w:fill="FFFFFF" w:val="clear"/>
                    </w:rPr>
                    <w:t>1.完成整篇课文的VR音频制作（个人完成）；</w:t>
                  </w:r>
                </w:p>
                <w:p>
                  <w:pPr>
                    <w:pStyle w:val="null26"/>
                    <w:ind w:firstLine="480"/>
                    <w:jc w:val="both"/>
                  </w:pPr>
                  <w:r>
                    <w:rPr>
                      <w:rFonts w:ascii="仿宋" w:hAnsi="仿宋" w:cs="仿宋" w:eastAsia="仿宋"/>
                      <w:sz w:val="28"/>
                      <w:shd w:fill="FFFFFF" w:val="clear"/>
                    </w:rPr>
                    <w:t>2.以“我最难忘”为主题，为三峡写一首小诗并九宫格配图发一条朋友圈（个人完成）；</w:t>
                  </w:r>
                </w:p>
                <w:p>
                  <w:pPr>
                    <w:pStyle w:val="null26"/>
                    <w:ind w:firstLine="480"/>
                    <w:jc w:val="both"/>
                  </w:pPr>
                  <w:r>
                    <w:rPr>
                      <w:rFonts w:ascii="仿宋" w:hAnsi="仿宋" w:cs="仿宋" w:eastAsia="仿宋"/>
                      <w:sz w:val="28"/>
                      <w:shd w:fill="FFFFFF" w:val="clear"/>
                    </w:rPr>
                    <w:t>3.去阅读更多关于三峡的文章，尝试为我们的三峡VR体验馆，出一则三峡旅行宣传单（小组完成）。</w:t>
                  </w:r>
                </w:p>
                <w:p>
                  <w:pPr>
                    <w:pStyle w:val="null26"/>
                    <w:ind w:firstLine="480"/>
                    <w:jc w:val="both"/>
                  </w:pPr>
                  <w:r>
                    <w:rPr>
                      <w:rFonts w:ascii="仿宋" w:hAnsi="仿宋" w:cs="仿宋" w:eastAsia="仿宋"/>
                      <w:sz w:val="28"/>
                      <w:shd w:fill="FFFFFF" w:val="clear"/>
                    </w:rPr>
                    <w:t>互批修改后，将学生作品上传至班级公众号。</w:t>
                  </w:r>
                </w:p>
                <w:p>
                  <w:pPr>
                    <w:pStyle w:val="null26"/>
                    <w:ind w:firstLine="480"/>
                    <w:jc w:val="both"/>
                  </w:pPr>
                  <w:r>
                    <w:rPr>
                      <w:rFonts w:ascii="仿宋" w:hAnsi="仿宋" w:cs="仿宋" w:eastAsia="仿宋"/>
                      <w:sz w:val="28"/>
                      <w:shd w:fill="FFFFFF" w:val="clear"/>
                    </w:rPr>
                    <w:t>（设计意图：作业可选做，并分为了个人做和小组做，是注重综合能力的培养的体现，能培养学生实践能力，新颖有趣，学生乐于参与。最后将学生的作品上传到班级公众号，实现了多维度空间展示，延展了学习空间。）</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板书设计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7"/>
                  </w:pPr>
                  <w:r>
                    <w:drawing>
                      <wp:inline distT="0" distR="0" distB="0" distL="0">
                        <wp:extent cx="4867275" cy="3505200"/>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4867275" cy="3505200"/>
                                </a:xfrm>
                                <a:prstGeom prst="rect">
                                  <a:avLst/>
                                </a:prstGeom>
                              </pic:spPr>
                            </pic:pic>
                          </a:graphicData>
                        </a:graphic>
                      </wp:inline>
                    </w:drawing>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hybridMultilevel"/>
    <w:lvl w:ilvl="0">
      <w:start w:val="1"/>
      <w:numFmt w:val="decimal"/>
      <w:lvlText w:val="%1."/>
      <w:lvlJc w:val="left"/>
      <w:pPr>
        <w:ind w:left="0"/>
      </w:pPr>
    </w:lvl>
  </w:abstractNum>
  <w:abstractNum w:abstractNumId="2">
    <w:multiLevelType w:val="hybridMultilevel"/>
    <w:lvl w:ilvl="0">
      <w:start w:val="1"/>
      <w:numFmt w:val="decimal"/>
      <w:lvlText w:val="%1."/>
      <w:lvlJc w:val="left"/>
      <w:pPr>
        <w:ind w:left="0"/>
      </w:pPr>
    </w:lvl>
  </w:abstractNum>
  <w:num w:numId="1" w16cid:durableId="189006960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 w:customStyle="true" w:type="paragraph" w:styleId="null22">
    <w:name w:val="null22"/>
    <w:hidden/>
    <w:rPr>
      <w:rFonts w:ascii="仿宋" w:eastAsia="仿宋" w:hAnsi="仿宋" w:cs="宋体"/>
      <w:kern w:val="0"/>
      <w:sz w:val="28"/>
      <w:szCs w:val="28"/>
    </w:rPr>
  </w:style>
  <w:style w:customStyle="true" w:type="paragraph" w:styleId="null23">
    <w:name w:val="null23"/>
    <w:hidden/>
    <w:rPr>
      <w:rFonts w:ascii="仿宋" w:eastAsia="仿宋" w:hAnsi="仿宋" w:cs="宋体"/>
      <w:kern w:val="0"/>
      <w:sz w:val="28"/>
      <w:szCs w:val="28"/>
    </w:rPr>
  </w:style>
  <w:style w:customStyle="true" w:type="paragraph" w:styleId="null24">
    <w:name w:val="null24"/>
    <w:hidden/>
    <w:rPr>
      <w:rFonts w:ascii="仿宋" w:eastAsia="仿宋" w:hAnsi="仿宋" w:cs="宋体"/>
      <w:kern w:val="0"/>
      <w:sz w:val="28"/>
      <w:szCs w:val="28"/>
    </w:rPr>
  </w:style>
  <w:style w:customStyle="true" w:type="paragraph" w:styleId="null25">
    <w:name w:val="null25"/>
    <w:hidden/>
    <w:rPr>
      <w:rFonts w:ascii="仿宋" w:eastAsia="仿宋" w:hAnsi="仿宋" w:cs="宋体"/>
      <w:kern w:val="0"/>
      <w:sz w:val="28"/>
      <w:szCs w:val="28"/>
    </w:rPr>
  </w:style>
  <w:style w:customStyle="true" w:type="paragraph" w:styleId="null26">
    <w:name w:val="null26"/>
    <w:hidden/>
    <w:rPr>
      <w:rFonts w:ascii="仿宋" w:eastAsia="仿宋" w:hAnsi="仿宋" w:cs="宋体"/>
      <w:kern w:val="0"/>
      <w:sz w:val="28"/>
      <w:szCs w:val="28"/>
    </w:rPr>
  </w:style>
  <w:style w:customStyle="true" w:type="paragraph" w:styleId="null27">
    <w:name w:val="null27"/>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