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0 -->
  <w:body>
    <w:tbl>
      <w:tblPr>
        <w:tblW w:w="5000" w:type="pct"/>
        <w:tblCellMar>
          <w:left w:w="0" w:type="dxa"/>
          <w:right w:w="0" w:type="dxa"/>
        </w:tblCellMar>
        <w:tblLook w:val="04A0"/>
      </w:tblPr>
      <w:tblGrid>
        <w:gridCol w:w="9867"/>
      </w:tblGrid>
      <w:tr w14:paraId="14075D91" w14:textId="77777777" w:rsidTr="00F84FF5">
        <w:tblPrEx>
          <w:tblW w:w="5000" w:type="pct"/>
          <w:tblCellMar>
            <w:left w:w="0" w:type="dxa"/>
            <w:right w:w="0" w:type="dxa"/>
          </w:tblCellMar>
          <w:tblLook w:val="04A0"/>
        </w:tblPrEx>
        <w:tc>
          <w:tcPr>
            <w:tcW w:w="0" w:type="auto"/>
            <w:tcMar>
              <w:top w:w="300" w:type="dxa"/>
              <w:left w:w="0" w:type="dxa"/>
              <w:bottom w:w="0" w:type="dxa"/>
              <w:right w:w="0" w:type="dxa"/>
            </w:tcMar>
            <w:vAlign w:val="center"/>
            <w:hideMark/>
          </w:tcPr>
          <w:p w:rsidR="006977DC" w:rsidRPr="004E4EB7" w:rsidP="006977DC" w14:paraId="5CC8879C" w14:textId="04F73504">
            <w:pPr>
              <w:widowControl/>
              <w:spacing w:line="300" w:lineRule="auto"/>
              <w:jc w:val="center"/>
              <w:rPr>
                <w:rFonts w:ascii="仿宋" w:eastAsia="仿宋" w:hAnsi="仿宋" w:cs="宋体"/>
                <w:kern w:val="0"/>
                <w:sz w:val="32"/>
                <w:szCs w:val="32"/>
              </w:rPr>
            </w:pPr>
            <w:r>
              <w:rPr>
                <w:rFonts w:ascii="仿宋" w:eastAsia="仿宋" w:hAnsi="仿宋" w:cs="宋体" w:hint="eastAsia"/>
                <w:b/>
                <w:bCs/>
                <w:kern w:val="0"/>
                <w:sz w:val="32"/>
                <w:szCs w:val="32"/>
              </w:rPr>
              <w:t>教案</w:t>
            </w:r>
          </w:p>
        </w:tc>
      </w:tr>
      <w:tr w14:paraId="1FE39EA2" w14:textId="77777777" w:rsidTr="00F84FF5">
        <w:tblPrEx>
          <w:tblW w:w="5000" w:type="pct"/>
          <w:tblCellMar>
            <w:left w:w="0" w:type="dxa"/>
            <w:right w:w="0" w:type="dxa"/>
          </w:tblCellMar>
          <w:tblLook w:val="04A0"/>
        </w:tblPrEx>
        <w:tc>
          <w:tcPr>
            <w:tcW w:w="5000" w:type="pct"/>
            <w:vAlign w:val="center"/>
            <w:hideMark/>
          </w:tcPr>
          <w:p w:rsidR="006977DC" w:rsidRPr="00CE3A7E" w:rsidP="0055563C" w14:paraId="799D3ABF" w14:textId="05D1CC40">
            <w:pPr>
              <w:widowControl/>
              <w:spacing w:line="300" w:lineRule="auto"/>
              <w:rPr>
                <w:rFonts w:ascii="仿宋" w:eastAsia="仿宋" w:hAnsi="仿宋" w:cs="宋体"/>
                <w:kern w:val="0"/>
                <w:sz w:val="28"/>
                <w:szCs w:val="28"/>
              </w:rPr>
            </w:pPr>
          </w:p>
        </w:tc>
      </w:tr>
      <w:tr w14:paraId="10443C85" w14:textId="77777777" w:rsidTr="00F84FF5">
        <w:tblPrEx>
          <w:tblW w:w="5000" w:type="pct"/>
          <w:tblCellMar>
            <w:left w:w="0" w:type="dxa"/>
            <w:right w:w="0" w:type="dxa"/>
          </w:tblCellMar>
          <w:tblLook w:val="04A0"/>
        </w:tblPrEx>
        <w:tc>
          <w:tcPr>
            <w:tcW w:w="0" w:type="auto"/>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30"/>
              <w:gridCol w:w="3713"/>
              <w:gridCol w:w="1386"/>
              <w:gridCol w:w="2622"/>
            </w:tblGrid>
            <w:tr w14:paraId="01F584DD" w14:textId="77777777" w:rsidTr="004C580C">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4C580C" w:rsidRPr="00CE3A7E" w:rsidP="006977DC" w14:paraId="7A498065" w14:textId="6BFA5CE4">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课题</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C580C" w:rsidRPr="00CE3A7E" w:rsidP="004C580C" w14:paraId="65B593D7" w14:textId="0A86841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立体图形的表面积复习</w:t>
                  </w:r>
                </w:p>
              </w:tc>
            </w:tr>
            <w:tr w14:paraId="4EDF2F9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42F6B90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学段/年级</w:t>
                  </w:r>
                </w:p>
              </w:tc>
              <w:tc>
                <w:tcPr>
                  <w:tcW w:w="3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0E24F181" w14:textId="34CA29AA">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小学 六年级</w:t>
                  </w:r>
                </w:p>
              </w:tc>
              <w:tc>
                <w:tcPr>
                  <w:tcW w:w="1386"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3A518F92"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学科</w:t>
                  </w:r>
                </w:p>
              </w:tc>
              <w:tc>
                <w:tcPr>
                  <w:tcW w:w="2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FDA63C" w14:textId="748DF6F5">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数学</w:t>
                  </w:r>
                </w:p>
              </w:tc>
            </w:tr>
            <w:tr w14:paraId="4258B182" w14:textId="77777777" w:rsidTr="00F81DE7">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82523E" w:rsidRPr="00CE3A7E" w:rsidP="006977DC" w14:paraId="11A8F9B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教材</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523E" w:rsidRPr="00CE3A7E" w:rsidP="006977DC" w14:paraId="73DEB87E" w14:textId="7AF7090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数学 人教版 六年级 下学期</w:t>
                  </w:r>
                </w:p>
              </w:tc>
            </w:tr>
            <w:tr w14:paraId="5C1F9A5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5F9EAC41" w14:textId="2E276FC1">
                  <w:pPr>
                    <w:widowControl/>
                    <w:spacing w:line="300" w:lineRule="auto"/>
                    <w:jc w:val="center"/>
                    <w:rPr>
                      <w:rFonts w:ascii="仿宋" w:eastAsia="仿宋" w:hAnsi="仿宋" w:cs="宋体"/>
                      <w:b/>
                      <w:bCs/>
                      <w:kern w:val="0"/>
                      <w:sz w:val="28"/>
                      <w:szCs w:val="28"/>
                    </w:rPr>
                  </w:pPr>
                  <w:r w:rsidRPr="00CE3A7E">
                    <w:rPr>
                      <w:rFonts w:ascii="仿宋" w:eastAsia="仿宋" w:hAnsi="仿宋" w:cs="宋体" w:hint="eastAsia"/>
                      <w:b/>
                      <w:bCs/>
                      <w:kern w:val="0"/>
                      <w:sz w:val="28"/>
                      <w:szCs w:val="28"/>
                    </w:rPr>
                    <w:t>章节</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432642" w14:textId="68358062">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整理与复习</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43714982"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教材解读</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8"/>
                    <w:ind w:firstLine="562"/>
                    <w:jc w:val="both"/>
                  </w:pPr>
                  <w:r>
                    <w:rPr>
                      <w:rFonts w:ascii="仿宋" w:hAnsi="仿宋" w:cs="仿宋" w:eastAsia="仿宋"/>
                      <w:b/>
                      <w:sz w:val="28"/>
                      <w:shd w:fill="2ECC71" w:val="clear"/>
                    </w:rPr>
                    <w:t>一、课程定位：</w:t>
                  </w:r>
                </w:p>
                <w:p>
                  <w:pPr>
                    <w:pStyle w:val="null18"/>
                    <w:ind w:firstLine="562"/>
                    <w:jc w:val="both"/>
                  </w:pPr>
                  <w:r>
                    <w:rPr>
                      <w:rFonts w:ascii="仿宋" w:hAnsi="仿宋" w:cs="仿宋" w:eastAsia="仿宋"/>
                      <w:sz w:val="28"/>
                    </w:rPr>
                    <w:t>在2022年《义务教育数学课程标准》“图形与几何”第三学段“教学提示”第二部分“图形的认识与测量”中提出借助现实生活中的实物，引导学生通过观察、操作等活动，</w:t>
                  </w:r>
                  <w:r>
                    <w:rPr>
                      <w:rFonts w:ascii="仿宋" w:hAnsi="仿宋" w:cs="仿宋" w:eastAsia="仿宋"/>
                      <w:color w:val="E74C3C"/>
                      <w:sz w:val="28"/>
                    </w:rPr>
                    <w:t>认识</w:t>
                  </w:r>
                  <w:r>
                    <w:rPr>
                      <w:rFonts w:ascii="仿宋" w:hAnsi="仿宋" w:cs="仿宋" w:eastAsia="仿宋"/>
                      <w:sz w:val="28"/>
                    </w:rPr>
                    <w:t>长方体、正方体、圆柱等</w:t>
                  </w:r>
                  <w:r>
                    <w:rPr>
                      <w:rFonts w:ascii="仿宋" w:hAnsi="仿宋" w:cs="仿宋" w:eastAsia="仿宋"/>
                      <w:color w:val="E74C3C"/>
                      <w:sz w:val="28"/>
                    </w:rPr>
                    <w:t>立体图形的特征，沟通立体图形之间的联系</w:t>
                  </w:r>
                  <w:r>
                    <w:rPr>
                      <w:rFonts w:ascii="仿宋" w:hAnsi="仿宋" w:cs="仿宋" w:eastAsia="仿宋"/>
                      <w:sz w:val="28"/>
                    </w:rPr>
                    <w:t>，增强空间想象能力。</w:t>
                  </w:r>
                </w:p>
                <w:p>
                  <w:pPr>
                    <w:pStyle w:val="null18"/>
                    <w:ind w:firstLine="562"/>
                    <w:jc w:val="both"/>
                  </w:pPr>
                  <w:r>
                    <w:rPr>
                      <w:rFonts w:ascii="仿宋" w:hAnsi="仿宋" w:cs="仿宋" w:eastAsia="仿宋"/>
                      <w:b/>
                      <w:sz w:val="28"/>
                      <w:shd w:fill="2ECC71" w:val="clear"/>
                    </w:rPr>
                    <w:t>二、教材纵向分析：</w:t>
                  </w:r>
                </w:p>
                <w:tbl>
                  <w:tblGrid>
                    <w:gridCol w:w="1350"/>
                    <w:gridCol w:w="3735"/>
                    <w:gridCol w:w="2355"/>
                  </w:tblGrid>
                  <w:tr>
                    <w:tc>
                      <w:tcPr>
                        <w:tcW w:type="dxa" w:w="1350"/>
                      </w:tcPr>
                      <w:p>
                        <w:pPr>
                          <w:pStyle w:val="null18"/>
                          <w:jc w:val="center"/>
                        </w:pPr>
                        <w:r>
                          <w:rPr>
                            <w:rFonts w:ascii="仿宋" w:hAnsi="仿宋" w:cs="仿宋" w:eastAsia="仿宋"/>
                            <w:b/>
                            <w:color w:val="2C3E50"/>
                            <w:sz w:val="28"/>
                            <w:shd w:fill="ECF0F1" w:val="clear"/>
                          </w:rPr>
                          <w:t>册数</w:t>
                        </w:r>
                      </w:p>
                    </w:tc>
                    <w:tc>
                      <w:tcPr>
                        <w:tcW w:type="dxa" w:w="3735"/>
                      </w:tcPr>
                      <w:p>
                        <w:pPr>
                          <w:pStyle w:val="null18"/>
                          <w:jc w:val="center"/>
                        </w:pPr>
                        <w:r>
                          <w:rPr>
                            <w:rFonts w:ascii="仿宋" w:hAnsi="仿宋" w:cs="仿宋" w:eastAsia="仿宋"/>
                            <w:b/>
                            <w:color w:val="2C3E50"/>
                            <w:sz w:val="28"/>
                            <w:shd w:fill="ECF0F1" w:val="clear"/>
                          </w:rPr>
                          <w:t>单元</w:t>
                        </w:r>
                      </w:p>
                    </w:tc>
                    <w:tc>
                      <w:tcPr>
                        <w:tcW w:type="dxa" w:w="2355"/>
                      </w:tcPr>
                      <w:p>
                        <w:pPr>
                          <w:pStyle w:val="null18"/>
                          <w:jc w:val="center"/>
                        </w:pPr>
                        <w:r>
                          <w:rPr>
                            <w:rFonts w:ascii="仿宋" w:hAnsi="仿宋" w:cs="仿宋" w:eastAsia="仿宋"/>
                            <w:b/>
                            <w:color w:val="2C3E50"/>
                            <w:sz w:val="28"/>
                            <w:shd w:fill="ECF0F1" w:val="clear"/>
                          </w:rPr>
                          <w:t>相关内容</w:t>
                        </w:r>
                      </w:p>
                    </w:tc>
                  </w:tr>
                  <w:tr>
                    <w:tc>
                      <w:tcPr>
                        <w:tcW w:type="dxa" w:w="1350"/>
                      </w:tcPr>
                      <w:p>
                        <w:pPr>
                          <w:pStyle w:val="null18"/>
                          <w:jc w:val="center"/>
                        </w:pPr>
                        <w:r>
                          <w:rPr>
                            <w:rFonts w:ascii="仿宋" w:hAnsi="仿宋" w:cs="仿宋" w:eastAsia="仿宋"/>
                            <w:color w:val="000000"/>
                            <w:sz w:val="28"/>
                          </w:rPr>
                          <w:t>五年级下册</w:t>
                        </w:r>
                      </w:p>
                    </w:tc>
                    <w:tc>
                      <w:tcPr>
                        <w:tcW w:type="dxa" w:w="3735"/>
                      </w:tcPr>
                      <w:p>
                        <w:pPr>
                          <w:pStyle w:val="null18"/>
                          <w:jc w:val="center"/>
                        </w:pPr>
                        <w:r>
                          <w:rPr>
                            <w:rFonts w:ascii="仿宋" w:hAnsi="仿宋" w:cs="仿宋" w:eastAsia="仿宋"/>
                            <w:color w:val="000000"/>
                            <w:sz w:val="28"/>
                          </w:rPr>
                          <w:t>第三单元《长方体和正方体》</w:t>
                        </w:r>
                      </w:p>
                    </w:tc>
                    <w:tc>
                      <w:tcPr>
                        <w:tcW w:type="dxa" w:w="2355"/>
                      </w:tcPr>
                      <w:p>
                        <w:pPr>
                          <w:pStyle w:val="null18"/>
                          <w:jc w:val="center"/>
                        </w:pPr>
                        <w:r>
                          <w:rPr>
                            <w:rFonts w:ascii="仿宋" w:hAnsi="仿宋" w:cs="仿宋" w:eastAsia="仿宋"/>
                            <w:color w:val="000000"/>
                            <w:sz w:val="28"/>
                          </w:rPr>
                          <w:t>长方体的表面积和正方体的表面积</w:t>
                        </w:r>
                      </w:p>
                    </w:tc>
                  </w:tr>
                  <w:tr>
                    <w:tc>
                      <w:tcPr>
                        <w:tcW w:type="dxa" w:w="1350"/>
                      </w:tcPr>
                      <w:p>
                        <w:pPr>
                          <w:pStyle w:val="null18"/>
                          <w:jc w:val="center"/>
                        </w:pPr>
                        <w:r>
                          <w:rPr>
                            <w:rFonts w:ascii="仿宋" w:hAnsi="仿宋" w:cs="仿宋" w:eastAsia="仿宋"/>
                            <w:color w:val="000000"/>
                            <w:sz w:val="28"/>
                          </w:rPr>
                          <w:t>六年级下册</w:t>
                        </w:r>
                      </w:p>
                    </w:tc>
                    <w:tc>
                      <w:tcPr>
                        <w:tcW w:type="dxa" w:w="3735"/>
                      </w:tcPr>
                      <w:p>
                        <w:pPr>
                          <w:pStyle w:val="null18"/>
                          <w:jc w:val="center"/>
                        </w:pPr>
                        <w:r>
                          <w:rPr>
                            <w:rFonts w:ascii="仿宋" w:hAnsi="仿宋" w:cs="仿宋" w:eastAsia="仿宋"/>
                            <w:color w:val="000000"/>
                            <w:sz w:val="28"/>
                          </w:rPr>
                          <w:t>第三单元《圆柱与圆锥》</w:t>
                        </w:r>
                      </w:p>
                    </w:tc>
                    <w:tc>
                      <w:tcPr>
                        <w:tcW w:type="dxa" w:w="2355"/>
                      </w:tcPr>
                      <w:p>
                        <w:pPr>
                          <w:pStyle w:val="null18"/>
                          <w:jc w:val="center"/>
                        </w:pPr>
                        <w:r>
                          <w:rPr>
                            <w:rFonts w:ascii="仿宋" w:hAnsi="仿宋" w:cs="仿宋" w:eastAsia="仿宋"/>
                            <w:color w:val="000000"/>
                            <w:sz w:val="28"/>
                          </w:rPr>
                          <w:t>圆柱的表面积</w:t>
                        </w:r>
                      </w:p>
                    </w:tc>
                  </w:tr>
                  <w:tr>
                    <w:tc>
                      <w:tcPr>
                        <w:tcW w:type="dxa" w:w="1350"/>
                      </w:tcPr>
                      <w:p>
                        <w:pPr>
                          <w:pStyle w:val="null18"/>
                          <w:jc w:val="center"/>
                        </w:pPr>
                        <w:r>
                          <w:rPr>
                            <w:rFonts w:ascii="仿宋" w:hAnsi="仿宋" w:cs="仿宋" w:eastAsia="仿宋"/>
                            <w:color w:val="000000"/>
                            <w:sz w:val="28"/>
                          </w:rPr>
                          <w:t>六年级下册</w:t>
                        </w:r>
                      </w:p>
                    </w:tc>
                    <w:tc>
                      <w:tcPr>
                        <w:tcW w:type="dxa" w:w="3735"/>
                      </w:tcPr>
                      <w:p>
                        <w:pPr>
                          <w:pStyle w:val="null18"/>
                          <w:jc w:val="center"/>
                        </w:pPr>
                        <w:r>
                          <w:rPr>
                            <w:rFonts w:ascii="仿宋" w:hAnsi="仿宋" w:cs="仿宋" w:eastAsia="仿宋"/>
                            <w:color w:val="000000"/>
                            <w:sz w:val="28"/>
                          </w:rPr>
                          <w:t>第六单元《整理与认识》</w:t>
                        </w:r>
                      </w:p>
                    </w:tc>
                    <w:tc>
                      <w:tcPr>
                        <w:tcW w:type="dxa" w:w="2355"/>
                      </w:tcPr>
                      <w:p>
                        <w:pPr>
                          <w:pStyle w:val="null18"/>
                          <w:jc w:val="center"/>
                        </w:pPr>
                        <w:r>
                          <w:rPr>
                            <w:rFonts w:ascii="仿宋" w:hAnsi="仿宋" w:cs="仿宋" w:eastAsia="仿宋"/>
                            <w:color w:val="000000"/>
                            <w:sz w:val="28"/>
                          </w:rPr>
                          <w:t>图形与几何</w:t>
                        </w:r>
                      </w:p>
                    </w:tc>
                  </w:tr>
                  <w:tr>
                    <w:tc>
                      <w:tcPr>
                        <w:tcW w:type="dxa" w:w="1350"/>
                      </w:tcPr>
                      <w:p>
                        <w:pPr>
                          <w:pStyle w:val="null18"/>
                          <w:jc w:val="center"/>
                        </w:pPr>
                        <w:r>
                          <w:rPr>
                            <w:rFonts w:ascii="仿宋" w:hAnsi="仿宋" w:cs="仿宋" w:eastAsia="仿宋"/>
                            <w:color w:val="000000"/>
                            <w:sz w:val="28"/>
                          </w:rPr>
                          <w:t>七年级上册</w:t>
                        </w:r>
                      </w:p>
                    </w:tc>
                    <w:tc>
                      <w:tcPr>
                        <w:tcW w:type="dxa" w:w="3735"/>
                      </w:tcPr>
                      <w:p>
                        <w:pPr>
                          <w:pStyle w:val="null18"/>
                          <w:jc w:val="center"/>
                        </w:pPr>
                        <w:r>
                          <w:rPr>
                            <w:rFonts w:ascii="仿宋" w:hAnsi="仿宋" w:cs="仿宋" w:eastAsia="仿宋"/>
                            <w:color w:val="000000"/>
                            <w:sz w:val="28"/>
                          </w:rPr>
                          <w:t>第四章《几何图形初步》</w:t>
                        </w:r>
                      </w:p>
                    </w:tc>
                    <w:tc>
                      <w:tcPr>
                        <w:tcW w:type="dxa" w:w="2355"/>
                      </w:tcPr>
                      <w:p>
                        <w:pPr>
                          <w:pStyle w:val="null18"/>
                          <w:jc w:val="center"/>
                        </w:pPr>
                        <w:r>
                          <w:rPr>
                            <w:rFonts w:ascii="仿宋" w:hAnsi="仿宋" w:cs="仿宋" w:eastAsia="仿宋"/>
                            <w:color w:val="000000"/>
                            <w:sz w:val="28"/>
                          </w:rPr>
                          <w:t>立体图形与平面图形</w:t>
                        </w:r>
                      </w:p>
                    </w:tc>
                  </w:tr>
                  <w:tr>
                    <w:tc>
                      <w:tcPr>
                        <w:tcW w:type="dxa" w:w="1350"/>
                      </w:tcPr>
                      <w:p>
                        <w:pPr>
                          <w:pStyle w:val="null18"/>
                          <w:jc w:val="center"/>
                        </w:pPr>
                        <w:r>
                          <w:rPr>
                            <w:rFonts w:ascii="仿宋" w:hAnsi="仿宋" w:cs="仿宋" w:eastAsia="仿宋"/>
                            <w:color w:val="000000"/>
                            <w:sz w:val="28"/>
                          </w:rPr>
                          <w:t>高中必修二</w:t>
                        </w:r>
                      </w:p>
                    </w:tc>
                    <w:tc>
                      <w:tcPr>
                        <w:tcW w:type="dxa" w:w="3735"/>
                      </w:tcPr>
                      <w:p>
                        <w:pPr>
                          <w:pStyle w:val="null18"/>
                          <w:jc w:val="center"/>
                        </w:pPr>
                        <w:r>
                          <w:rPr>
                            <w:rFonts w:ascii="仿宋" w:hAnsi="仿宋" w:cs="仿宋" w:eastAsia="仿宋"/>
                            <w:color w:val="000000"/>
                            <w:sz w:val="28"/>
                          </w:rPr>
                          <w:t>第一章《立体几何》</w:t>
                        </w:r>
                      </w:p>
                    </w:tc>
                    <w:tc>
                      <w:tcPr>
                        <w:tcW w:type="dxa" w:w="2355"/>
                      </w:tcPr>
                      <w:p>
                        <w:pPr>
                          <w:pStyle w:val="null18"/>
                          <w:jc w:val="center"/>
                        </w:pPr>
                        <w:r>
                          <w:rPr>
                            <w:rFonts w:ascii="仿宋" w:hAnsi="仿宋" w:cs="仿宋" w:eastAsia="仿宋"/>
                            <w:color w:val="000000"/>
                            <w:sz w:val="28"/>
                          </w:rPr>
                          <w:t>空间立体几何的表面积与体积</w:t>
                        </w:r>
                      </w:p>
                    </w:tc>
                  </w:tr>
                </w:tbl>
                <w:p>
                  <w:pPr>
                    <w:pStyle w:val="null18"/>
                    <w:jc w:val="both"/>
                  </w:pPr>
                  <w:r>
                    <w:rPr>
                      <w:rFonts w:ascii="仿宋" w:hAnsi="仿宋" w:cs="仿宋" w:eastAsia="仿宋"/>
                      <w:sz w:val="28"/>
                    </w:rPr>
                    <w:t xml:space="preserve">    </w:t>
                  </w:r>
                  <w:r>
                    <w:rPr>
                      <w:rFonts w:ascii="仿宋" w:hAnsi="仿宋" w:cs="仿宋" w:eastAsia="仿宋"/>
                      <w:sz w:val="28"/>
                    </w:rPr>
                    <w:t>立体图形的表面积复习是属于六年级下册圆柱与圆锥这一单元中的整理复习。在此之前学生已经学习过长方体、正方体、圆柱的特征以及表面积，那么这个部分也将为学生学习第四学段几何图形初步，以及高中数学空间立体几何的表面积与体积做准备。</w:t>
                  </w:r>
                </w:p>
                <w:p>
                  <w:pPr>
                    <w:pStyle w:val="null18"/>
                    <w:jc w:val="both"/>
                  </w:pPr>
                  <w:r>
                    <w:rPr>
                      <w:rFonts w:ascii="仿宋" w:hAnsi="仿宋" w:cs="仿宋" w:eastAsia="仿宋"/>
                      <w:b/>
                      <w:sz w:val="28"/>
                    </w:rPr>
                    <w:t xml:space="preserve">  </w:t>
                  </w:r>
                  <w:r>
                    <w:rPr>
                      <w:rFonts w:ascii="仿宋" w:hAnsi="仿宋" w:cs="仿宋" w:eastAsia="仿宋"/>
                      <w:b/>
                      <w:sz w:val="28"/>
                      <w:shd w:fill="2ECC71" w:val="clear"/>
                    </w:rPr>
                    <w:t>三、教材横向分析：</w:t>
                  </w:r>
                </w:p>
                <w:p>
                  <w:pPr>
                    <w:pStyle w:val="null18"/>
                    <w:ind w:firstLine="562"/>
                    <w:jc w:val="both"/>
                  </w:pPr>
                  <w:r>
                    <w:rPr>
                      <w:rFonts w:ascii="仿宋" w:hAnsi="仿宋" w:cs="仿宋" w:eastAsia="仿宋"/>
                      <w:b/>
                      <w:sz w:val="28"/>
                    </w:rPr>
                    <w:t>(一)相同点</w:t>
                  </w:r>
                </w:p>
                <w:tbl>
                  <w:tblGrid>
                    <w:gridCol w:w="2580"/>
                    <w:gridCol w:w="1710"/>
                    <w:gridCol w:w="1605"/>
                    <w:gridCol w:w="1740"/>
                  </w:tblGrid>
                  <w:tr>
                    <w:tc>
                      <w:tcPr>
                        <w:tcW w:type="dxa" w:w="2580"/>
                      </w:tcPr>
                      <w:p>
                        <w:pPr>
                          <w:pStyle w:val="null18"/>
                        </w:pPr>
                        <w:r>
                          <w:rPr>
                            <w:rFonts w:ascii="仿宋" w:hAnsi="仿宋" w:cs="仿宋" w:eastAsia="仿宋"/>
                            <w:sz w:val="28"/>
                          </w:rPr>
                          <w:t xml:space="preserve"> </w:t>
                        </w:r>
                      </w:p>
                    </w:tc>
                    <w:tc>
                      <w:tcPr>
                        <w:tcW w:type="dxa" w:w="1710"/>
                      </w:tcPr>
                      <w:p>
                        <w:pPr>
                          <w:pStyle w:val="null18"/>
                        </w:pPr>
                        <w:r>
                          <w:rPr>
                            <w:rFonts w:ascii="仿宋" w:hAnsi="仿宋" w:cs="仿宋" w:eastAsia="仿宋"/>
                            <w:color w:val="2C3E50"/>
                            <w:sz w:val="28"/>
                          </w:rPr>
                          <w:t>人教版</w:t>
                        </w:r>
                      </w:p>
                    </w:tc>
                    <w:tc>
                      <w:tcPr>
                        <w:tcW w:type="dxa" w:w="1605"/>
                      </w:tcPr>
                      <w:p>
                        <w:pPr>
                          <w:pStyle w:val="null18"/>
                        </w:pPr>
                        <w:r>
                          <w:rPr>
                            <w:rFonts w:ascii="仿宋" w:hAnsi="仿宋" w:cs="仿宋" w:eastAsia="仿宋"/>
                            <w:color w:val="2C3E50"/>
                            <w:sz w:val="28"/>
                          </w:rPr>
                          <w:t>苏教版</w:t>
                        </w:r>
                      </w:p>
                    </w:tc>
                    <w:tc>
                      <w:tcPr>
                        <w:tcW w:type="dxa" w:w="1740"/>
                      </w:tcPr>
                      <w:p>
                        <w:pPr>
                          <w:pStyle w:val="null18"/>
                        </w:pPr>
                        <w:r>
                          <w:rPr>
                            <w:rFonts w:ascii="仿宋" w:hAnsi="仿宋" w:cs="仿宋" w:eastAsia="仿宋"/>
                            <w:color w:val="2C3E50"/>
                            <w:sz w:val="28"/>
                          </w:rPr>
                          <w:t>北师大版</w:t>
                        </w:r>
                      </w:p>
                    </w:tc>
                  </w:tr>
                  <w:tr>
                    <w:tc>
                      <w:tcPr>
                        <w:tcW w:type="dxa" w:w="2580"/>
                      </w:tcPr>
                      <w:p>
                        <w:pPr>
                          <w:pStyle w:val="null18"/>
                        </w:pPr>
                        <w:r>
                          <w:rPr>
                            <w:rFonts w:ascii="仿宋" w:hAnsi="仿宋" w:cs="仿宋" w:eastAsia="仿宋"/>
                            <w:color w:val="000000"/>
                            <w:sz w:val="28"/>
                          </w:rPr>
                          <w:t>立体图形的认识</w:t>
                        </w:r>
                      </w:p>
                    </w:tc>
                    <w:tc>
                      <w:tcPr>
                        <w:tcW w:type="dxa" w:w="5055"/>
                        <w:gridSpan w:val="3"/>
                      </w:tcPr>
                      <w:p>
                        <w:pPr>
                          <w:pStyle w:val="null18"/>
                        </w:pPr>
                        <w:r>
                          <w:rPr>
                            <w:rFonts w:ascii="仿宋" w:hAnsi="仿宋" w:cs="仿宋" w:eastAsia="仿宋"/>
                            <w:color w:val="000000"/>
                            <w:sz w:val="28"/>
                          </w:rPr>
                          <w:t>立体图形的认识从分类入手，引导学生对几何体的特征进行整理，加深对常见几何体特征的认识</w:t>
                        </w:r>
                      </w:p>
                    </w:tc>
                  </w:tr>
                  <w:tr>
                    <w:tc>
                      <w:tcPr>
                        <w:tcW w:type="dxa" w:w="2580"/>
                      </w:tcPr>
                      <w:p>
                        <w:pPr>
                          <w:pStyle w:val="null18"/>
                        </w:pPr>
                        <w:r>
                          <w:rPr>
                            <w:rFonts w:ascii="仿宋" w:hAnsi="仿宋" w:cs="仿宋" w:eastAsia="仿宋"/>
                            <w:color w:val="000000"/>
                            <w:sz w:val="28"/>
                          </w:rPr>
                          <w:t>图形的测量</w:t>
                        </w:r>
                      </w:p>
                      <w:p>
                        <w:pPr>
                          <w:pStyle w:val="null18"/>
                        </w:pPr>
                        <w:r>
                          <w:rPr>
                            <w:rFonts w:ascii="仿宋" w:hAnsi="仿宋" w:cs="仿宋" w:eastAsia="仿宋"/>
                            <w:color w:val="000000"/>
                            <w:sz w:val="28"/>
                          </w:rPr>
                          <w:t>（表面积的计算）</w:t>
                        </w:r>
                      </w:p>
                    </w:tc>
                    <w:tc>
                      <w:tcPr>
                        <w:tcW w:type="dxa" w:w="5055"/>
                        <w:gridSpan w:val="3"/>
                      </w:tcPr>
                      <w:p>
                        <w:pPr>
                          <w:pStyle w:val="null18"/>
                        </w:pPr>
                        <w:r>
                          <w:rPr>
                            <w:rFonts w:ascii="仿宋" w:hAnsi="仿宋" w:cs="仿宋" w:eastAsia="仿宋"/>
                            <w:color w:val="000000"/>
                            <w:sz w:val="28"/>
                          </w:rPr>
                          <w:t>图形测量的复习重点主要在常见的几何体表面积的计算，引导回忆表面积的计算，掌握计算方法。</w:t>
                        </w:r>
                      </w:p>
                    </w:tc>
                  </w:tr>
                </w:tbl>
                <w:p>
                  <w:pPr>
                    <w:pStyle w:val="null18"/>
                  </w:pPr>
                  <w:r>
                    <w:rPr>
                      <w:rFonts w:ascii="仿宋" w:hAnsi="仿宋" w:cs="仿宋" w:eastAsia="仿宋"/>
                      <w:b/>
                      <w:sz w:val="28"/>
                    </w:rPr>
                    <w:t xml:space="preserve"> （二）不同点</w:t>
                  </w:r>
                </w:p>
                <w:p>
                  <w:pPr>
                    <w:pStyle w:val="null18"/>
                  </w:pPr>
                  <w:r>
                    <w:rPr>
                      <w:rFonts w:ascii="仿宋" w:hAnsi="仿宋" w:cs="仿宋" w:eastAsia="仿宋"/>
                      <w:color w:val="E74C3C"/>
                      <w:sz w:val="28"/>
                    </w:rPr>
                    <w:t>人教版：</w:t>
                  </w:r>
                </w:p>
                <w:p>
                  <w:pPr>
                    <w:pStyle w:val="null18"/>
                  </w:pPr>
                  <w:r>
                    <w:rPr>
                      <w:rFonts w:ascii="仿宋" w:hAnsi="仿宋" w:cs="仿宋" w:eastAsia="仿宋"/>
                      <w:sz w:val="28"/>
                    </w:rPr>
                    <w:t>1、在图形的测量与分析的第一课中， 从图形的分类入手，将图形分为立体图形和平面图形 2、在立体图形中提供问题和表格给学生，让学生自主梳理立体图形的特点，理解他们的关系以及相同之处和不同之处。</w:t>
                  </w:r>
                </w:p>
                <w:p>
                  <w:pPr>
                    <w:pStyle w:val="null18"/>
                  </w:pPr>
                  <w:r>
                    <w:rPr>
                      <w:rFonts w:ascii="仿宋" w:hAnsi="仿宋" w:cs="仿宋" w:eastAsia="仿宋"/>
                      <w:color w:val="E74C3C"/>
                      <w:sz w:val="28"/>
                    </w:rPr>
                    <w:t>苏教版：</w:t>
                  </w:r>
                </w:p>
                <w:p>
                  <w:pPr>
                    <w:pStyle w:val="null18"/>
                  </w:pPr>
                  <w:r>
                    <w:rPr>
                      <w:rFonts w:ascii="仿宋" w:hAnsi="仿宋" w:cs="仿宋" w:eastAsia="仿宋"/>
                      <w:sz w:val="28"/>
                    </w:rPr>
                    <w:t>1、引导学生将学过的立体图形分为两类进行研究 2、从展开面的平面图形入手，帮助学生体会用二维平面图形描述三维立体图形的过程，巩固加深对长方体六个面之间关系的认识 3、体会展开图与立体图形之间的联系，把握用展开图描述立体图形的思考过程。 4、以指定边为旋转轴旋转，感受旋转体的特点。</w:t>
                  </w:r>
                </w:p>
                <w:p>
                  <w:pPr>
                    <w:pStyle w:val="null18"/>
                  </w:pPr>
                  <w:r>
                    <w:rPr>
                      <w:rFonts w:ascii="仿宋" w:hAnsi="仿宋" w:cs="仿宋" w:eastAsia="仿宋"/>
                      <w:color w:val="E74C3C"/>
                      <w:sz w:val="28"/>
                    </w:rPr>
                    <w:t>北师大版：</w:t>
                  </w:r>
                </w:p>
                <w:p>
                  <w:pPr>
                    <w:pStyle w:val="null18"/>
                  </w:pPr>
                  <w:r>
                    <w:rPr>
                      <w:rFonts w:ascii="仿宋" w:hAnsi="仿宋" w:cs="仿宋" w:eastAsia="仿宋"/>
                      <w:sz w:val="28"/>
                    </w:rPr>
                    <w:t>1、将图形展开图的二维平面图形和立体三维图形结合在一起，建立二维图形和三维图形的联系，结合实物感受平面图形与立体图形的联系.在平面图形中找立体图形，感受立体图形的特征，体会之间的联系与区别 2、从平面图形中建立联系，让学生回忆并掌握表面积的计算方法，在具体情境中加强学生的空间观念，循序渐进深化学生的转化思想。</w:t>
                  </w:r>
                </w:p>
                <w:p>
                  <w:pPr>
                    <w:pStyle w:val="null18"/>
                    <w:ind w:firstLine="562"/>
                    <w:jc w:val="both"/>
                  </w:pPr>
                  <w:r>
                    <w:rPr>
                      <w:rFonts w:ascii="仿宋" w:hAnsi="仿宋" w:cs="仿宋" w:eastAsia="仿宋"/>
                      <w:sz w:val="28"/>
                    </w:rPr>
                    <w:t xml:space="preserve"> </w:t>
                  </w:r>
                </w:p>
                <w:p>
                  <w:pPr>
                    <w:pStyle w:val="null18"/>
                    <w:ind w:firstLine="562"/>
                    <w:jc w:val="both"/>
                  </w:pPr>
                  <w:r>
                    <w:rPr>
                      <w:rFonts w:ascii="仿宋" w:hAnsi="仿宋" w:cs="仿宋" w:eastAsia="仿宋"/>
                      <w:sz w:val="28"/>
                    </w:rPr>
                    <w:t xml:space="preserve"> </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学情分析</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9"/>
                  </w:pPr>
                  <w:r>
                    <w:rPr>
                      <w:rFonts w:ascii="仿宋" w:hAnsi="仿宋" w:cs="仿宋" w:eastAsia="仿宋"/>
                      <w:color w:val="191919"/>
                      <w:sz w:val="28"/>
                      <w:shd w:fill="FFFFFF" w:val="clear"/>
                    </w:rPr>
                    <w:t xml:space="preserve"> </w:t>
                  </w:r>
                  <w:r>
                    <w:rPr>
                      <w:rFonts w:ascii="仿宋" w:hAnsi="仿宋" w:cs="仿宋" w:eastAsia="仿宋"/>
                      <w:color w:val="191919"/>
                      <w:sz w:val="28"/>
                      <w:shd w:fill="FFFFFF" w:val="clear"/>
                    </w:rPr>
                    <w:t>立体图形的表面积这节课是在学生已有知识经验的基础上进行的复习课，面对体积和表面积我们该怎样理清其知识结构，让知识结构转化为学生的认知结构呢？为了精准了解学生的学习起点与学习难点，特进行以下学情分析。</w:t>
                  </w:r>
                </w:p>
                <w:p>
                  <w:pPr>
                    <w:pStyle w:val="null19"/>
                    <w:ind w:firstLine="480"/>
                    <w:jc w:val="both"/>
                  </w:pPr>
                  <w:r>
                    <w:rPr>
                      <w:rFonts w:ascii="仿宋" w:hAnsi="仿宋" w:cs="仿宋" w:eastAsia="仿宋"/>
                      <w:b/>
                      <w:sz w:val="28"/>
                      <w:shd w:fill="CCFF66" w:val="clear"/>
                    </w:rPr>
                    <w:t>一、前测试题</w:t>
                  </w:r>
                </w:p>
                <w:p>
                  <w:pPr>
                    <w:pStyle w:val="null19"/>
                    <w:jc w:val="center"/>
                  </w:pPr>
                  <w:r>
                    <w:rPr>
                      <w:rFonts w:ascii="仿宋" w:hAnsi="仿宋" w:cs="仿宋" w:eastAsia="仿宋"/>
                      <w:b/>
                      <w:sz w:val="28"/>
                    </w:rPr>
                    <w:t>《立体图形表面积的整理复习》学情调研（学生版）</w:t>
                  </w:r>
                </w:p>
                <w:p>
                  <w:pPr>
                    <w:pStyle w:val="null19"/>
                    <w:jc w:val="both"/>
                  </w:pPr>
                  <w:r>
                    <w:rPr>
                      <w:rFonts w:ascii="仿宋" w:hAnsi="仿宋" w:cs="仿宋" w:eastAsia="仿宋"/>
                      <w:sz w:val="28"/>
                    </w:rPr>
                    <w:t>亲爱的同学：</w:t>
                  </w:r>
                </w:p>
                <w:p>
                  <w:pPr>
                    <w:pStyle w:val="null19"/>
                    <w:jc w:val="both"/>
                  </w:pPr>
                  <w:r>
                    <w:rPr>
                      <w:rFonts w:ascii="仿宋" w:hAnsi="仿宋" w:cs="仿宋" w:eastAsia="仿宋"/>
                      <w:sz w:val="28"/>
                    </w:rPr>
                    <w:t xml:space="preserve">  你好！非常感谢您用宝贵的学习时间完成本次调研，你提供的信息将为我们进一步改善教学提供依据。希望你独立完成，写下真实想法，谢谢！</w:t>
                  </w:r>
                </w:p>
                <w:p>
                  <w:pPr>
                    <w:pStyle w:val="null19"/>
                    <w:numPr>
                      <w:ilvl w:val="0"/>
                      <w:numId w:val="2"/>
                    </w:numPr>
                    <w:jc w:val="both"/>
                  </w:pPr>
                  <w:r>
                    <w:rPr>
                      <w:rFonts w:ascii="仿宋" w:hAnsi="仿宋" w:cs="仿宋" w:eastAsia="仿宋"/>
                      <w:sz w:val="28"/>
                    </w:rPr>
                    <w:t>基本信息</w:t>
                  </w:r>
                </w:p>
                <w:p>
                  <w:pPr>
                    <w:pStyle w:val="null19"/>
                    <w:jc w:val="both"/>
                  </w:pPr>
                  <w:r>
                    <w:rPr>
                      <w:rFonts w:ascii="仿宋" w:hAnsi="仿宋" w:cs="仿宋" w:eastAsia="仿宋"/>
                      <w:sz w:val="28"/>
                    </w:rPr>
                    <w:t>班级：</w:t>
                  </w:r>
                  <w:r>
                    <w:rPr>
                      <w:rFonts w:ascii="仿宋" w:hAnsi="仿宋" w:cs="仿宋" w:eastAsia="仿宋"/>
                      <w:sz w:val="28"/>
                      <w:u w:val="single"/>
                    </w:rPr>
                    <w:t xml:space="preserve">            </w:t>
                  </w:r>
                  <w:r>
                    <w:rPr>
                      <w:rFonts w:ascii="仿宋" w:hAnsi="仿宋" w:cs="仿宋" w:eastAsia="仿宋"/>
                      <w:sz w:val="28"/>
                    </w:rPr>
                    <w:t xml:space="preserve"> 姓名：</w:t>
                  </w:r>
                  <w:r>
                    <w:rPr>
                      <w:rFonts w:ascii="仿宋" w:hAnsi="仿宋" w:cs="仿宋" w:eastAsia="仿宋"/>
                      <w:sz w:val="28"/>
                      <w:u w:val="single"/>
                    </w:rPr>
                    <w:t xml:space="preserve">         </w:t>
                  </w:r>
                </w:p>
                <w:p>
                  <w:pPr>
                    <w:pStyle w:val="null19"/>
                    <w:numPr>
                      <w:ilvl w:val="0"/>
                      <w:numId w:val="2"/>
                    </w:numPr>
                    <w:jc w:val="both"/>
                  </w:pPr>
                  <w:r>
                    <w:rPr>
                      <w:rFonts w:ascii="仿宋" w:hAnsi="仿宋" w:cs="仿宋" w:eastAsia="仿宋"/>
                      <w:sz w:val="28"/>
                    </w:rPr>
                    <w:t>调研题（尽可能具体的表达你的想法，没有固定答案，请独立作答）</w:t>
                  </w:r>
                </w:p>
                <w:p>
                  <w:pPr>
                    <w:pStyle w:val="null19"/>
                    <w:jc w:val="both"/>
                  </w:pPr>
                  <w:r>
                    <w:rPr>
                      <w:rFonts w:ascii="仿宋" w:hAnsi="仿宋" w:cs="仿宋" w:eastAsia="仿宋"/>
                      <w:sz w:val="28"/>
                    </w:rPr>
                    <w:t>1、小亚做了一个笔筒，她想给笔筒的底面和侧面贴上彩纸，至少需要用多少彩纸?</w:t>
                  </w:r>
                </w:p>
                <w:tbl>
                  <w:tblGrid>
                    <w:gridCol w:w="4818"/>
                    <w:gridCol w:w="4818"/>
                  </w:tblGrid>
                  <w:tr>
                    <w:tc>
                      <w:tcPr>
                        <w:tcW w:type="dxa" w:w="4818"/>
                      </w:tcPr>
                      <w:p>
                        <w:pPr>
                          <w:pStyle w:val="null19"/>
                        </w:pPr>
                        <w:r>
                          <w:rPr>
                            <w:rFonts w:ascii="仿宋" w:hAnsi="仿宋" w:cs="仿宋" w:eastAsia="仿宋"/>
                            <w:sz w:val="28"/>
                          </w:rPr>
                          <w:t xml:space="preserve"> </w:t>
                        </w:r>
                      </w:p>
                    </w:tc>
                  </w:tr>
                  <w:tr>
                    <w:tc>
                      <w:tcPr>
                        <w:tcW w:type="dxa" w:w="4818"/>
                      </w:tcPr>
                      <w:p>
                        <w:pPr>
                          <w:pStyle w:val="null19"/>
                        </w:pPr>
                        <w:r>
                          <w:rPr>
                            <w:rFonts w:ascii="仿宋" w:hAnsi="仿宋" w:cs="仿宋" w:eastAsia="仿宋"/>
                            <w:sz w:val="28"/>
                          </w:rPr>
                          <w:t xml:space="preserve"> </w:t>
                        </w:r>
                      </w:p>
                    </w:tc>
                    <w:tc>
                      <w:tcPr>
                        <w:tcW w:type="dxa" w:w="4818"/>
                      </w:tcPr>
                      <w:p>
                        <w:pPr>
                          <w:pStyle w:val="null19"/>
                        </w:pPr>
                        <w:r>
                          <w:drawing>
                            <wp:inline distT="0" distR="0" distB="0" distL="0">
                              <wp:extent cx="1257300" cy="1200150"/>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10"/>
                                      <a:stretch>
                                        <a:fillRect/>
                                      </a:stretch>
                                    </pic:blipFill>
                                    <pic:spPr>
                                      <a:xfrm>
                                        <a:off x="0" y="0"/>
                                        <a:ext cx="1257300" cy="1200150"/>
                                      </a:xfrm>
                                      <a:prstGeom prst="rect">
                                        <a:avLst/>
                                      </a:prstGeom>
                                    </pic:spPr>
                                  </pic:pic>
                                </a:graphicData>
                              </a:graphic>
                            </wp:inline>
                          </w:drawing>
                        </w:r>
                      </w:p>
                    </w:tc>
                  </w:tr>
                </w:tbl>
                <w:p>
                  <w:pPr>
                    <w:pStyle w:val="null19"/>
                    <w:jc w:val="both"/>
                  </w:pPr>
                  <w:r>
                    <w:rPr>
                      <w:rFonts w:ascii="仿宋" w:hAnsi="仿宋" w:cs="仿宋" w:eastAsia="仿宋"/>
                      <w:sz w:val="28"/>
                    </w:rPr>
                    <w:t>2、在长方体、正方体、圆柱等立体图形的表面积学习中，你印象最深刻的课是哪一堂课？为什么？请简单写一写。</w:t>
                  </w:r>
                </w:p>
                <w:p>
                  <w:pPr>
                    <w:pStyle w:val="null19"/>
                    <w:jc w:val="both"/>
                  </w:pPr>
                  <w:r>
                    <w:rPr>
                      <w:rFonts w:ascii="仿宋" w:hAnsi="仿宋" w:cs="仿宋" w:eastAsia="仿宋"/>
                      <w:sz w:val="28"/>
                    </w:rPr>
                    <w:t>3、你认为立体图形的表面积和平面图形的面积之间有什么关系?请你任举一个例子， 用文字、图像或图文结合的方式简单表达你的想法。</w:t>
                  </w:r>
                </w:p>
                <w:p>
                  <w:pPr>
                    <w:pStyle w:val="null19"/>
                    <w:jc w:val="both"/>
                  </w:pPr>
                  <w:r>
                    <w:rPr>
                      <w:rFonts w:ascii="仿宋" w:hAnsi="仿宋" w:cs="仿宋" w:eastAsia="仿宋"/>
                      <w:sz w:val="28"/>
                    </w:rPr>
                    <w:t xml:space="preserve">  </w:t>
                  </w:r>
                  <w:r>
                    <w:rPr>
                      <w:rFonts w:ascii="仿宋" w:hAnsi="仿宋" w:cs="仿宋" w:eastAsia="仿宋"/>
                      <w:b/>
                      <w:sz w:val="28"/>
                      <w:shd w:fill="CCFF66" w:val="clear"/>
                    </w:rPr>
                    <w:t>二、设计意图与分析说明</w:t>
                  </w:r>
                </w:p>
                <w:p>
                  <w:pPr>
                    <w:pStyle w:val="null19"/>
                    <w:jc w:val="both"/>
                  </w:pPr>
                  <w:r>
                    <w:rPr>
                      <w:rFonts w:ascii="仿宋" w:hAnsi="仿宋" w:cs="仿宋" w:eastAsia="仿宋"/>
                      <w:b/>
                      <w:color w:val="E74C3C"/>
                      <w:sz w:val="28"/>
                    </w:rPr>
                    <w:t>第一题：</w:t>
                  </w:r>
                </w:p>
                <w:p>
                  <w:pPr>
                    <w:pStyle w:val="null19"/>
                    <w:numPr>
                      <w:ilvl w:val="0"/>
                      <w:numId w:val="3"/>
                    </w:numPr>
                    <w:jc w:val="both"/>
                  </w:pPr>
                  <w:r>
                    <w:rPr>
                      <w:rFonts w:ascii="仿宋" w:hAnsi="仿宋" w:cs="仿宋" w:eastAsia="仿宋"/>
                      <w:sz w:val="28"/>
                    </w:rPr>
                    <w:t>小亚做了一个笔筒，她想给笔筒的底面和侧面贴上彩纸，至少需要用多少彩纸</w:t>
                  </w:r>
                  <w:r>
                    <w:rPr>
                      <w:rFonts w:ascii="仿宋" w:hAnsi="仿宋" w:cs="仿宋" w:eastAsia="仿宋"/>
                      <w:sz w:val="28"/>
                    </w:rPr>
                    <w:t>?</w:t>
                  </w:r>
                </w:p>
                <w:tbl>
                  <w:tblGrid>
                    <w:gridCol w:w="4818"/>
                    <w:gridCol w:w="4818"/>
                  </w:tblGrid>
                  <w:tr>
                    <w:tc>
                      <w:tcPr>
                        <w:tcW w:type="dxa" w:w="4818"/>
                      </w:tcPr>
                      <w:p>
                        <w:pPr>
                          <w:pStyle w:val="null19"/>
                        </w:pPr>
                        <w:r>
                          <w:rPr>
                            <w:rFonts w:ascii="仿宋" w:hAnsi="仿宋" w:cs="仿宋" w:eastAsia="仿宋"/>
                            <w:sz w:val="28"/>
                          </w:rPr>
                          <w:t xml:space="preserve"> </w:t>
                        </w:r>
                      </w:p>
                    </w:tc>
                  </w:tr>
                  <w:tr>
                    <w:tc>
                      <w:tcPr>
                        <w:tcW w:type="dxa" w:w="4818"/>
                      </w:tcPr>
                      <w:p>
                        <w:pPr>
                          <w:pStyle w:val="null19"/>
                        </w:pPr>
                        <w:r>
                          <w:rPr>
                            <w:rFonts w:ascii="仿宋" w:hAnsi="仿宋" w:cs="仿宋" w:eastAsia="仿宋"/>
                            <w:sz w:val="28"/>
                          </w:rPr>
                          <w:t xml:space="preserve"> </w:t>
                        </w:r>
                      </w:p>
                    </w:tc>
                    <w:tc>
                      <w:tcPr>
                        <w:tcW w:type="dxa" w:w="4818"/>
                      </w:tcPr>
                      <w:p>
                        <w:pPr>
                          <w:pStyle w:val="null19"/>
                        </w:pPr>
                        <w:r>
                          <w:drawing>
                            <wp:inline distT="0" distR="0" distB="0" distL="0">
                              <wp:extent cx="1409700" cy="1343025"/>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10"/>
                                      <a:stretch>
                                        <a:fillRect/>
                                      </a:stretch>
                                    </pic:blipFill>
                                    <pic:spPr>
                                      <a:xfrm>
                                        <a:off x="0" y="0"/>
                                        <a:ext cx="1409700" cy="1343025"/>
                                      </a:xfrm>
                                      <a:prstGeom prst="rect">
                                        <a:avLst/>
                                      </a:prstGeom>
                                    </pic:spPr>
                                  </pic:pic>
                                </a:graphicData>
                              </a:graphic>
                            </wp:inline>
                          </w:drawing>
                        </w:r>
                      </w:p>
                    </w:tc>
                  </w:tr>
                </w:tbl>
                <w:p>
                  <w:pPr>
                    <w:pStyle w:val="null19"/>
                    <w:jc w:val="both"/>
                  </w:pPr>
                  <w:r>
                    <w:rPr>
                      <w:rFonts w:ascii="仿宋" w:hAnsi="仿宋" w:cs="仿宋" w:eastAsia="仿宋"/>
                      <w:sz w:val="28"/>
                    </w:rPr>
                    <w:t>【设计意图】了解学生综合运用圆柱表面积相关知识解决问题的能力</w:t>
                  </w:r>
                </w:p>
                <w:p>
                  <w:pPr>
                    <w:pStyle w:val="null19"/>
                    <w:jc w:val="both"/>
                  </w:pPr>
                  <w:r>
                    <w:rPr>
                      <w:rFonts w:ascii="仿宋" w:hAnsi="仿宋" w:cs="仿宋" w:eastAsia="仿宋"/>
                      <w:sz w:val="28"/>
                    </w:rPr>
                    <w:t>【评价体系】</w:t>
                  </w:r>
                </w:p>
                <w:p>
                  <w:pPr>
                    <w:pStyle w:val="null19"/>
                    <w:jc w:val="both"/>
                  </w:pPr>
                  <w:r>
                    <w:rPr>
                      <w:rFonts w:ascii="仿宋" w:hAnsi="仿宋" w:cs="仿宋" w:eastAsia="仿宋"/>
                      <w:sz w:val="28"/>
                    </w:rPr>
                    <w:t>水平一：不会用圆柱相关知识解决这个问题或未回答</w:t>
                  </w:r>
                </w:p>
                <w:p>
                  <w:pPr>
                    <w:pStyle w:val="null19"/>
                    <w:jc w:val="both"/>
                  </w:pPr>
                  <w:r>
                    <w:rPr>
                      <w:rFonts w:ascii="仿宋" w:hAnsi="仿宋" w:cs="仿宋" w:eastAsia="仿宋"/>
                      <w:sz w:val="28"/>
                    </w:rPr>
                    <w:t>水平二：能用圆柱一个底面积</w:t>
                  </w:r>
                  <w:r>
                    <w:rPr>
                      <w:rFonts w:ascii="仿宋" w:hAnsi="仿宋" w:cs="仿宋" w:eastAsia="仿宋"/>
                      <w:sz w:val="28"/>
                    </w:rPr>
                    <w:t>+侧面积解决这个问题并计算准确</w:t>
                  </w:r>
                </w:p>
                <w:p>
                  <w:pPr>
                    <w:pStyle w:val="null19"/>
                    <w:jc w:val="both"/>
                  </w:pPr>
                  <w:r>
                    <w:rPr>
                      <w:rFonts w:ascii="仿宋" w:hAnsi="仿宋" w:cs="仿宋" w:eastAsia="仿宋"/>
                      <w:sz w:val="28"/>
                    </w:rPr>
                    <w:t>水平三：能正确求出圆柱底面积或侧面积</w:t>
                  </w:r>
                </w:p>
                <w:p>
                  <w:pPr>
                    <w:pStyle w:val="null19"/>
                    <w:jc w:val="both"/>
                  </w:pPr>
                  <w:r>
                    <w:rPr>
                      <w:rFonts w:ascii="仿宋" w:hAnsi="仿宋" w:cs="仿宋" w:eastAsia="仿宋"/>
                      <w:sz w:val="28"/>
                    </w:rPr>
                    <w:t>水平四：解答过程完整，计算准确、单位和答书写规范</w:t>
                  </w:r>
                </w:p>
                <w:p>
                  <w:pPr>
                    <w:pStyle w:val="null19"/>
                    <w:jc w:val="both"/>
                  </w:pPr>
                  <w:r>
                    <w:rPr>
                      <w:rFonts w:ascii="仿宋" w:hAnsi="仿宋" w:cs="仿宋" w:eastAsia="仿宋"/>
                      <w:sz w:val="28"/>
                    </w:rPr>
                    <w:t>【数据分布】</w:t>
                  </w:r>
                </w:p>
                <w:tbl>
                  <w:tblPr>
                    <w:tblBorders>
                      <w:top w:val="none" w:color="000000" w:sz="4"/>
                      <w:left w:val="none" w:color="000000" w:sz="4"/>
                      <w:bottom w:val="none" w:color="000000" w:sz="4"/>
                      <w:right w:val="none" w:color="000000" w:sz="4"/>
                      <w:insideH w:val="none"/>
                      <w:insideV w:val="none"/>
                    </w:tblBorders>
                  </w:tblPr>
                  <w:tblGrid>
                    <w:gridCol w:w="1927"/>
                    <w:gridCol w:w="1927"/>
                    <w:gridCol w:w="1927"/>
                    <w:gridCol w:w="1927"/>
                    <w:gridCol w:w="1927"/>
                  </w:tblGrid>
                  <w:tr>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等级</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1</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2</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3</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4</w:t>
                        </w:r>
                      </w:p>
                    </w:tc>
                  </w:tr>
                  <w:tr>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人数</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4</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18</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21</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45</w:t>
                        </w:r>
                      </w:p>
                    </w:tc>
                  </w:tr>
                  <w:tr>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百分率</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4.6%</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20.5%</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26.1%</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48.9%</w:t>
                        </w:r>
                      </w:p>
                    </w:tc>
                  </w:tr>
                </w:tbl>
                <w:p>
                  <w:pPr>
                    <w:pStyle w:val="null19"/>
                    <w:jc w:val="both"/>
                  </w:pPr>
                  <w:r>
                    <w:rPr>
                      <w:rFonts w:ascii="仿宋" w:hAnsi="仿宋" w:cs="仿宋" w:eastAsia="仿宋"/>
                      <w:sz w:val="28"/>
                    </w:rPr>
                    <w:t>【结论】通过调研可知，约</w:t>
                  </w:r>
                  <w:r>
                    <w:rPr>
                      <w:rFonts w:ascii="仿宋" w:hAnsi="仿宋" w:cs="仿宋" w:eastAsia="仿宋"/>
                      <w:sz w:val="28"/>
                    </w:rPr>
                    <w:t>95%的学生能结合圆柱表面积相关知识解决实际问题，错误主要集中在审题不细致、计算错误等方面，但也存在个别学生基础知识薄弱，对底面积和侧面积等相关知识均未掌握的情况。</w:t>
                  </w:r>
                </w:p>
                <w:p>
                  <w:pPr>
                    <w:pStyle w:val="null19"/>
                    <w:jc w:val="both"/>
                  </w:pPr>
                  <w:r>
                    <w:rPr>
                      <w:rFonts w:ascii="仿宋" w:hAnsi="仿宋" w:cs="仿宋" w:eastAsia="仿宋"/>
                      <w:b/>
                      <w:color w:val="E74C3C"/>
                      <w:sz w:val="28"/>
                    </w:rPr>
                    <w:t>第二题：</w:t>
                  </w:r>
                </w:p>
                <w:p>
                  <w:pPr>
                    <w:pStyle w:val="null19"/>
                    <w:jc w:val="both"/>
                  </w:pPr>
                  <w:r>
                    <w:rPr>
                      <w:rFonts w:ascii="仿宋" w:hAnsi="仿宋" w:cs="仿宋" w:eastAsia="仿宋"/>
                      <w:sz w:val="28"/>
                    </w:rPr>
                    <w:t>2.在长方体、正方体、圆柱等立体图形的表面积学习中，你印象最深刻的课是哪一堂课？为什么？请简单写一写。</w:t>
                  </w:r>
                </w:p>
                <w:p>
                  <w:pPr>
                    <w:pStyle w:val="null19"/>
                    <w:jc w:val="both"/>
                  </w:pPr>
                  <w:r>
                    <w:rPr>
                      <w:rFonts w:ascii="仿宋" w:hAnsi="仿宋" w:cs="仿宋" w:eastAsia="仿宋"/>
                      <w:sz w:val="28"/>
                    </w:rPr>
                    <w:t>【设计意图】一方面了解学生在表面积的学习过程中，喜欢的授课形式</w:t>
                  </w:r>
                  <w:r>
                    <w:rPr>
                      <w:rFonts w:ascii="仿宋" w:hAnsi="仿宋" w:cs="仿宋" w:eastAsia="仿宋"/>
                      <w:sz w:val="28"/>
                    </w:rPr>
                    <w:t>;另一方面了解立体图形表面积教学过程中有没有让学生印象深刻的技术手段、教学方式等。</w:t>
                  </w:r>
                </w:p>
                <w:p>
                  <w:pPr>
                    <w:pStyle w:val="null19"/>
                    <w:jc w:val="both"/>
                  </w:pPr>
                  <w:r>
                    <w:rPr>
                      <w:rFonts w:ascii="仿宋" w:hAnsi="仿宋" w:cs="仿宋" w:eastAsia="仿宋"/>
                      <w:sz w:val="28"/>
                    </w:rPr>
                    <w:t>【学生答案】</w:t>
                  </w:r>
                </w:p>
                <w:p>
                  <w:pPr>
                    <w:pStyle w:val="null19"/>
                    <w:jc w:val="both"/>
                  </w:pPr>
                  <w:r>
                    <w:rPr>
                      <w:rFonts w:ascii="仿宋" w:hAnsi="仿宋" w:cs="仿宋" w:eastAsia="仿宋"/>
                      <w:sz w:val="28"/>
                    </w:rPr>
                    <w:t>1、长方体表面积</w:t>
                  </w:r>
                </w:p>
                <w:p>
                  <w:pPr>
                    <w:pStyle w:val="null19"/>
                    <w:jc w:val="both"/>
                  </w:pPr>
                  <w:r>
                    <w:rPr>
                      <w:rFonts w:ascii="仿宋" w:hAnsi="仿宋" w:cs="仿宋" w:eastAsia="仿宋"/>
                      <w:sz w:val="28"/>
                    </w:rPr>
                    <w:t>原因</w:t>
                  </w:r>
                  <w:r>
                    <w:rPr>
                      <w:rFonts w:ascii="仿宋" w:hAnsi="仿宋" w:cs="仿宋" w:eastAsia="仿宋"/>
                      <w:sz w:val="28"/>
                    </w:rPr>
                    <w:t>: 1.立体图形都可以转化为长方体;2.老师用一个有趣的口诀让我们记住了长长的公式</w:t>
                  </w:r>
                </w:p>
                <w:p>
                  <w:pPr>
                    <w:pStyle w:val="null19"/>
                    <w:jc w:val="both"/>
                  </w:pPr>
                  <w:r>
                    <w:rPr>
                      <w:rFonts w:ascii="仿宋" w:hAnsi="仿宋" w:cs="仿宋" w:eastAsia="仿宋"/>
                      <w:sz w:val="28"/>
                    </w:rPr>
                    <w:t>2、正方体表面积</w:t>
                  </w:r>
                </w:p>
                <w:p>
                  <w:pPr>
                    <w:pStyle w:val="null19"/>
                    <w:jc w:val="both"/>
                  </w:pPr>
                  <w:r>
                    <w:rPr>
                      <w:rFonts w:ascii="仿宋" w:hAnsi="仿宋" w:cs="仿宋" w:eastAsia="仿宋"/>
                      <w:sz w:val="28"/>
                    </w:rPr>
                    <w:t>原因</w:t>
                  </w:r>
                  <w:r>
                    <w:rPr>
                      <w:rFonts w:ascii="仿宋" w:hAnsi="仿宋" w:cs="仿宋" w:eastAsia="仿宋"/>
                      <w:sz w:val="28"/>
                    </w:rPr>
                    <w:t>:正方体是特殊的长方体</w:t>
                  </w:r>
                </w:p>
                <w:p>
                  <w:pPr>
                    <w:pStyle w:val="null19"/>
                    <w:jc w:val="both"/>
                  </w:pPr>
                  <w:r>
                    <w:rPr>
                      <w:rFonts w:ascii="仿宋" w:hAnsi="仿宋" w:cs="仿宋" w:eastAsia="仿宋"/>
                      <w:sz w:val="28"/>
                    </w:rPr>
                    <w:t>3、圆柱的表面积</w:t>
                  </w:r>
                </w:p>
                <w:p>
                  <w:pPr>
                    <w:pStyle w:val="null19"/>
                    <w:jc w:val="both"/>
                  </w:pPr>
                  <w:r>
                    <w:rPr>
                      <w:rFonts w:ascii="仿宋" w:hAnsi="仿宋" w:cs="仿宋" w:eastAsia="仿宋"/>
                      <w:sz w:val="28"/>
                    </w:rPr>
                    <w:t>原因</w:t>
                  </w:r>
                  <w:r>
                    <w:rPr>
                      <w:rFonts w:ascii="仿宋" w:hAnsi="仿宋" w:cs="仿宋" w:eastAsia="仿宋"/>
                      <w:sz w:val="28"/>
                    </w:rPr>
                    <w:t>: 1.老师运用了剪、合的方法，让我们了解到圆柱展开图的组成结构; 2.证实了自己的猜想，觉得很有趣; 3、课上没学懂，做题困难，后面自己学才会; 4、计算总出错</w:t>
                  </w:r>
                </w:p>
                <w:p>
                  <w:pPr>
                    <w:pStyle w:val="null19"/>
                    <w:jc w:val="both"/>
                  </w:pPr>
                  <w:r>
                    <w:rPr>
                      <w:rFonts w:ascii="仿宋" w:hAnsi="仿宋" w:cs="仿宋" w:eastAsia="仿宋"/>
                      <w:sz w:val="28"/>
                    </w:rPr>
                    <w:t>4、其它</w:t>
                  </w:r>
                </w:p>
                <w:p>
                  <w:pPr>
                    <w:pStyle w:val="null19"/>
                    <w:jc w:val="both"/>
                  </w:pPr>
                  <w:r>
                    <w:rPr>
                      <w:rFonts w:ascii="仿宋" w:hAnsi="仿宋" w:cs="仿宋" w:eastAsia="仿宋"/>
                      <w:sz w:val="28"/>
                    </w:rPr>
                    <w:t>答案与问题无关</w:t>
                  </w:r>
                  <w:r>
                    <w:rPr>
                      <w:rFonts w:ascii="仿宋" w:hAnsi="仿宋" w:cs="仿宋" w:eastAsia="仿宋"/>
                      <w:sz w:val="28"/>
                    </w:rPr>
                    <w:t>(如:圆锥的体积等)或表述不清。</w:t>
                  </w:r>
                </w:p>
                <w:p>
                  <w:pPr>
                    <w:pStyle w:val="null19"/>
                    <w:jc w:val="both"/>
                  </w:pPr>
                  <w:r>
                    <w:rPr>
                      <w:rFonts w:ascii="仿宋" w:hAnsi="仿宋" w:cs="仿宋" w:eastAsia="仿宋"/>
                      <w:sz w:val="28"/>
                    </w:rPr>
                    <w:t>【数据分布】</w:t>
                  </w:r>
                </w:p>
                <w:tbl>
                  <w:tblPr>
                    <w:tblBorders>
                      <w:top w:val="none" w:color="000000" w:sz="4"/>
                      <w:left w:val="none" w:color="000000" w:sz="4"/>
                      <w:bottom w:val="none" w:color="000000" w:sz="4"/>
                      <w:right w:val="none" w:color="000000" w:sz="4"/>
                      <w:insideH w:val="none"/>
                      <w:insideV w:val="none"/>
                    </w:tblBorders>
                  </w:tblPr>
                  <w:tblGrid>
                    <w:gridCol w:w="2336"/>
                    <w:gridCol w:w="1808"/>
                    <w:gridCol w:w="2012"/>
                    <w:gridCol w:w="1944"/>
                    <w:gridCol w:w="1535"/>
                  </w:tblGrid>
                  <w:tr>
                    <w:tc>
                      <w:tcPr>
                        <w:tcW w:type="dxa" w:w="2336"/>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印象最深的一堂课</w:t>
                        </w:r>
                      </w:p>
                    </w:tc>
                    <w:tc>
                      <w:tcPr>
                        <w:tcW w:type="dxa" w:w="1808"/>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长方体表面积</w:t>
                        </w:r>
                      </w:p>
                    </w:tc>
                    <w:tc>
                      <w:tcPr>
                        <w:tcW w:type="dxa" w:w="201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正方体表面积</w:t>
                        </w:r>
                      </w:p>
                    </w:tc>
                    <w:tc>
                      <w:tcPr>
                        <w:tcW w:type="dxa" w:w="1944"/>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圆柱表面积</w:t>
                        </w:r>
                      </w:p>
                    </w:tc>
                    <w:tc>
                      <w:tcPr>
                        <w:tcW w:type="dxa" w:w="1535"/>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其他</w:t>
                        </w:r>
                      </w:p>
                    </w:tc>
                  </w:tr>
                  <w:tr>
                    <w:tc>
                      <w:tcPr>
                        <w:tcW w:type="dxa" w:w="2336"/>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人数</w:t>
                        </w:r>
                      </w:p>
                    </w:tc>
                    <w:tc>
                      <w:tcPr>
                        <w:tcW w:type="dxa" w:w="180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9人</w:t>
                        </w:r>
                      </w:p>
                    </w:tc>
                    <w:tc>
                      <w:tcPr>
                        <w:tcW w:type="dxa" w:w="201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5人</w:t>
                        </w:r>
                      </w:p>
                    </w:tc>
                    <w:tc>
                      <w:tcPr>
                        <w:tcW w:type="dxa" w:w="194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50人</w:t>
                        </w:r>
                      </w:p>
                    </w:tc>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25人</w:t>
                        </w:r>
                      </w:p>
                    </w:tc>
                  </w:tr>
                  <w:tr>
                    <w:tc>
                      <w:tcPr>
                        <w:tcW w:type="dxa" w:w="2336"/>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百分率</w:t>
                        </w:r>
                      </w:p>
                    </w:tc>
                    <w:tc>
                      <w:tcPr>
                        <w:tcW w:type="dxa" w:w="180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10.2%</w:t>
                        </w:r>
                      </w:p>
                    </w:tc>
                    <w:tc>
                      <w:tcPr>
                        <w:tcW w:type="dxa" w:w="201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5.7%</w:t>
                        </w:r>
                      </w:p>
                    </w:tc>
                    <w:tc>
                      <w:tcPr>
                        <w:tcW w:type="dxa" w:w="194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56.8%</w:t>
                        </w:r>
                      </w:p>
                    </w:tc>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28.4%</w:t>
                        </w:r>
                      </w:p>
                    </w:tc>
                  </w:tr>
                </w:tbl>
                <w:p>
                  <w:pPr>
                    <w:pStyle w:val="null19"/>
                    <w:jc w:val="both"/>
                  </w:pPr>
                  <w:r>
                    <w:rPr>
                      <w:rFonts w:ascii="仿宋" w:hAnsi="仿宋" w:cs="仿宋" w:eastAsia="仿宋"/>
                      <w:sz w:val="28"/>
                    </w:rPr>
                    <w:t>【结论】</w:t>
                  </w:r>
                </w:p>
                <w:p>
                  <w:pPr>
                    <w:pStyle w:val="null19"/>
                    <w:jc w:val="both"/>
                  </w:pPr>
                  <w:r>
                    <w:rPr>
                      <w:rFonts w:ascii="仿宋" w:hAnsi="仿宋" w:cs="仿宋" w:eastAsia="仿宋"/>
                      <w:sz w:val="28"/>
                    </w:rPr>
                    <w:t>1、通过调研可知，约56. 8%的同学对圆柱表面积这一-课印象深刻，原因有三:其一，圆柱表面积是本学期的学习内容，学生容易记起;其二，圆柱表面积本身的特殊性，如:三个面、侧面展开是长方形，计算易出错等，都能引起学生的兴趣;其三，圆柱表面积的授课中，学生有猜想、操作等活动，学生参与其中，印象深刻。</w:t>
                  </w:r>
                </w:p>
                <w:p>
                  <w:pPr>
                    <w:pStyle w:val="null19"/>
                    <w:jc w:val="both"/>
                  </w:pPr>
                  <w:r>
                    <w:rPr>
                      <w:rFonts w:ascii="仿宋" w:hAnsi="仿宋" w:cs="仿宋" w:eastAsia="仿宋"/>
                      <w:sz w:val="28"/>
                    </w:rPr>
                    <w:t>2、从调研数据可知，约30%的学生存在答非所问，表达不清等现象，这也是一个不容小觑的问题，这反映了在日常学习过程中，有一部分同学仍存在比较明显的数学审题方面的问题，这种状况会直接影响他们初中的数学学习，希望在小学阶段的归纳整理，复习提升之际，老师给予一定的方法指导，重视这一问题。</w:t>
                  </w:r>
                </w:p>
                <w:p>
                  <w:pPr>
                    <w:pStyle w:val="null19"/>
                    <w:jc w:val="both"/>
                  </w:pPr>
                  <w:r>
                    <w:rPr>
                      <w:rFonts w:ascii="仿宋" w:hAnsi="仿宋" w:cs="仿宋" w:eastAsia="仿宋"/>
                      <w:b/>
                      <w:color w:val="E74C3C"/>
                      <w:sz w:val="28"/>
                    </w:rPr>
                    <w:t>第三题：</w:t>
                  </w:r>
                </w:p>
                <w:p>
                  <w:pPr>
                    <w:pStyle w:val="null19"/>
                    <w:jc w:val="both"/>
                  </w:pPr>
                  <w:r>
                    <w:rPr>
                      <w:rFonts w:ascii="仿宋" w:hAnsi="仿宋" w:cs="仿宋" w:eastAsia="仿宋"/>
                      <w:sz w:val="28"/>
                    </w:rPr>
                    <w:t>3.你认为立体图形的表面积和平面图形的面积之间有什么关系?请你任举一个例子， 用文字、图像或图文结合的方式简单表达你的想法。</w:t>
                  </w:r>
                </w:p>
                <w:p>
                  <w:pPr>
                    <w:pStyle w:val="null19"/>
                    <w:jc w:val="both"/>
                  </w:pPr>
                  <w:r>
                    <w:rPr>
                      <w:rFonts w:ascii="仿宋" w:hAnsi="仿宋" w:cs="仿宋" w:eastAsia="仿宋"/>
                      <w:sz w:val="28"/>
                    </w:rPr>
                    <w:t>【设计意图】本题设计意图有二</w:t>
                  </w:r>
                  <w:r>
                    <w:rPr>
                      <w:rFonts w:ascii="仿宋" w:hAnsi="仿宋" w:cs="仿宋" w:eastAsia="仿宋"/>
                      <w:sz w:val="28"/>
                    </w:rPr>
                    <w:t>:其一，了解学生是否形成有关面积的系统性知识结构;其二，考察学生是否具备用合适的方式让思维“可视化”的能力。</w:t>
                  </w:r>
                </w:p>
                <w:p>
                  <w:pPr>
                    <w:pStyle w:val="null19"/>
                    <w:jc w:val="both"/>
                  </w:pPr>
                  <w:r>
                    <w:rPr>
                      <w:rFonts w:ascii="仿宋" w:hAnsi="仿宋" w:cs="仿宋" w:eastAsia="仿宋"/>
                      <w:sz w:val="28"/>
                    </w:rPr>
                    <w:t>【评价体系】</w:t>
                  </w:r>
                </w:p>
                <w:p>
                  <w:pPr>
                    <w:pStyle w:val="null19"/>
                    <w:jc w:val="both"/>
                  </w:pPr>
                  <w:r>
                    <w:rPr>
                      <w:rFonts w:ascii="仿宋" w:hAnsi="仿宋" w:cs="仿宋" w:eastAsia="仿宋"/>
                      <w:sz w:val="28"/>
                    </w:rPr>
                    <w:t>水平</w:t>
                  </w:r>
                  <w:r>
                    <w:rPr>
                      <w:rFonts w:ascii="仿宋" w:hAnsi="仿宋" w:cs="仿宋" w:eastAsia="仿宋"/>
                      <w:sz w:val="28"/>
                    </w:rPr>
                    <w:t>1:回答错误或未回答。</w:t>
                  </w:r>
                </w:p>
                <w:p>
                  <w:pPr>
                    <w:pStyle w:val="null19"/>
                    <w:jc w:val="both"/>
                  </w:pPr>
                  <w:r>
                    <w:rPr>
                      <w:rFonts w:ascii="仿宋" w:hAnsi="仿宋" w:cs="仿宋" w:eastAsia="仿宋"/>
                      <w:sz w:val="28"/>
                    </w:rPr>
                    <w:t>水平</w:t>
                  </w:r>
                  <w:r>
                    <w:rPr>
                      <w:rFonts w:ascii="仿宋" w:hAnsi="仿宋" w:cs="仿宋" w:eastAsia="仿宋"/>
                      <w:sz w:val="28"/>
                    </w:rPr>
                    <w:t>2:回答正确但举例不恰当。</w:t>
                  </w:r>
                </w:p>
                <w:p>
                  <w:pPr>
                    <w:pStyle w:val="null19"/>
                    <w:jc w:val="both"/>
                  </w:pPr>
                  <w:r>
                    <w:rPr>
                      <w:rFonts w:ascii="仿宋" w:hAnsi="仿宋" w:cs="仿宋" w:eastAsia="仿宋"/>
                      <w:sz w:val="28"/>
                    </w:rPr>
                    <w:t>水平</w:t>
                  </w:r>
                  <w:r>
                    <w:rPr>
                      <w:rFonts w:ascii="仿宋" w:hAnsi="仿宋" w:cs="仿宋" w:eastAsia="仿宋"/>
                      <w:sz w:val="28"/>
                    </w:rPr>
                    <w:t>3:回答、举例正确，但表述不清晰。</w:t>
                  </w:r>
                </w:p>
                <w:p>
                  <w:pPr>
                    <w:pStyle w:val="null19"/>
                    <w:jc w:val="both"/>
                  </w:pPr>
                  <w:r>
                    <w:rPr>
                      <w:rFonts w:ascii="仿宋" w:hAnsi="仿宋" w:cs="仿宋" w:eastAsia="仿宋"/>
                      <w:sz w:val="28"/>
                    </w:rPr>
                    <w:t>水平</w:t>
                  </w:r>
                  <w:r>
                    <w:rPr>
                      <w:rFonts w:ascii="仿宋" w:hAnsi="仿宋" w:cs="仿宋" w:eastAsia="仿宋"/>
                      <w:sz w:val="28"/>
                    </w:rPr>
                    <w:t>4:既正确又清晰，思维“可见”。</w:t>
                  </w:r>
                </w:p>
                <w:p>
                  <w:pPr>
                    <w:pStyle w:val="null19"/>
                    <w:jc w:val="both"/>
                  </w:pPr>
                  <w:r>
                    <w:rPr>
                      <w:rFonts w:ascii="仿宋" w:hAnsi="仿宋" w:cs="仿宋" w:eastAsia="仿宋"/>
                      <w:sz w:val="28"/>
                    </w:rPr>
                    <w:t>【数据分布】</w:t>
                  </w:r>
                </w:p>
                <w:tbl>
                  <w:tblPr>
                    <w:tblBorders>
                      <w:top w:val="none" w:color="000000" w:sz="4"/>
                      <w:left w:val="none" w:color="000000" w:sz="4"/>
                      <w:bottom w:val="none" w:color="000000" w:sz="4"/>
                      <w:right w:val="none" w:color="000000" w:sz="4"/>
                      <w:insideH w:val="none"/>
                      <w:insideV w:val="none"/>
                    </w:tblBorders>
                  </w:tblPr>
                  <w:tblGrid>
                    <w:gridCol w:w="1927"/>
                    <w:gridCol w:w="1927"/>
                    <w:gridCol w:w="1927"/>
                    <w:gridCol w:w="1927"/>
                    <w:gridCol w:w="1927"/>
                  </w:tblGrid>
                  <w:tr>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等级</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1</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2</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3</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水平</w:t>
                        </w:r>
                        <w:r>
                          <w:rPr>
                            <w:rFonts w:ascii="仿宋" w:hAnsi="仿宋" w:cs="仿宋" w:eastAsia="仿宋"/>
                            <w:sz w:val="28"/>
                          </w:rPr>
                          <w:t>4</w:t>
                        </w:r>
                      </w:p>
                    </w:tc>
                  </w:tr>
                  <w:tr>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人数</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23人</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21人</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25人</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18人</w:t>
                        </w:r>
                      </w:p>
                    </w:tc>
                  </w:tr>
                  <w:tr>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百分比</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26.4%</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24.1%</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28.7%</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19"/>
                          <w:jc w:val="center"/>
                        </w:pPr>
                        <w:r>
                          <w:rPr>
                            <w:rFonts w:ascii="仿宋" w:hAnsi="仿宋" w:cs="仿宋" w:eastAsia="仿宋"/>
                            <w:sz w:val="28"/>
                          </w:rPr>
                          <w:t>20.8%</w:t>
                        </w:r>
                      </w:p>
                    </w:tc>
                  </w:tr>
                </w:tbl>
                <w:p>
                  <w:pPr>
                    <w:pStyle w:val="null19"/>
                    <w:jc w:val="both"/>
                  </w:pPr>
                  <w:r>
                    <w:rPr>
                      <w:rFonts w:ascii="仿宋" w:hAnsi="仿宋" w:cs="仿宋" w:eastAsia="仿宋"/>
                      <w:sz w:val="28"/>
                    </w:rPr>
                    <w:t>【结论】</w:t>
                  </w:r>
                </w:p>
                <w:p>
                  <w:pPr>
                    <w:pStyle w:val="null19"/>
                    <w:jc w:val="both"/>
                  </w:pPr>
                  <w:r>
                    <w:rPr>
                      <w:rFonts w:ascii="仿宋" w:hAnsi="仿宋" w:cs="仿宋" w:eastAsia="仿宋"/>
                      <w:sz w:val="28"/>
                    </w:rPr>
                    <w:t>1、根据调研数据可知，约75%的学生对立体图形表面积和平面图形面积的关联有正确认知:立体图形的表面积是组成它的平面图形的面积和，且更倾向于用正方体和圆柱来举例说明这一观点。</w:t>
                  </w:r>
                </w:p>
                <w:p>
                  <w:pPr>
                    <w:pStyle w:val="null19"/>
                    <w:jc w:val="both"/>
                  </w:pPr>
                  <w:r>
                    <w:rPr>
                      <w:rFonts w:ascii="仿宋" w:hAnsi="仿宋" w:cs="仿宋" w:eastAsia="仿宋"/>
                      <w:sz w:val="28"/>
                    </w:rPr>
                    <w:t>2、约50%的学生还不太会用合适的方式让思维“可视化”。这类同学往往采用“作文”的形式，长篇大论且条理不清晰，约有20%的同学能数形结合，简单明了的表达自己的思考过程或观点。</w:t>
                  </w:r>
                </w:p>
                <w:p>
                  <w:pPr>
                    <w:pStyle w:val="null19"/>
                    <w:jc w:val="both"/>
                  </w:pPr>
                  <w:r>
                    <w:rPr>
                      <w:rFonts w:ascii="仿宋" w:hAnsi="仿宋" w:cs="仿宋" w:eastAsia="仿宋"/>
                      <w:sz w:val="28"/>
                    </w:rPr>
                    <w:t>3、从数据统计可见，四个水平的学生分布比较均匀，在18</w:t>
                  </w:r>
                  <w:r>
                    <w:rPr>
                      <w:rFonts w:ascii="仿宋" w:hAnsi="仿宋" w:cs="仿宋" w:eastAsia="仿宋"/>
                      <w:color w:val="000000"/>
                      <w:sz w:val="28"/>
                    </w:rPr>
                    <w:t>~</w:t>
                  </w:r>
                  <w:r>
                    <w:rPr>
                      <w:rFonts w:ascii="仿宋" w:hAnsi="仿宋" w:cs="仿宋" w:eastAsia="仿宋"/>
                      <w:sz w:val="28"/>
                    </w:rPr>
                    <w:t>25人之间。这一方面说明学生存在较明显的思维和能力上的差异，另一方面也说明了学生之间合作学习的可能性和必要性，但如何形成有效的合作学习样态，</w:t>
                  </w:r>
                  <w:r>
                    <w:rPr>
                      <w:rFonts w:ascii="仿宋" w:hAnsi="仿宋" w:cs="仿宋" w:eastAsia="仿宋"/>
                      <w:color w:val="E74C3C"/>
                      <w:sz w:val="28"/>
                    </w:rPr>
                    <w:t>如何安排学习小组</w:t>
                  </w:r>
                  <w:r>
                    <w:rPr>
                      <w:rFonts w:ascii="仿宋" w:hAnsi="仿宋" w:cs="仿宋" w:eastAsia="仿宋"/>
                      <w:sz w:val="28"/>
                    </w:rPr>
                    <w:t>，都是老师们在日常教学中需要思考的。</w:t>
                  </w:r>
                </w:p>
                <w:p>
                  <w:pPr>
                    <w:pStyle w:val="null19"/>
                    <w:jc w:val="both"/>
                  </w:pPr>
                  <w:r>
                    <w:rPr>
                      <w:rFonts w:ascii="仿宋" w:hAnsi="仿宋" w:cs="仿宋" w:eastAsia="仿宋"/>
                      <w:b/>
                      <w:sz w:val="28"/>
                      <w:shd w:fill="CCFF66" w:val="clear"/>
                    </w:rPr>
                    <w:t>三、策略与思考</w:t>
                  </w:r>
                </w:p>
                <w:p>
                  <w:pPr>
                    <w:pStyle w:val="null19"/>
                    <w:ind w:firstLine="480"/>
                    <w:jc w:val="both"/>
                  </w:pPr>
                  <w:r>
                    <w:rPr>
                      <w:rFonts w:ascii="仿宋" w:hAnsi="仿宋" w:cs="仿宋" w:eastAsia="仿宋"/>
                      <w:color w:val="191919"/>
                      <w:sz w:val="28"/>
                      <w:shd w:fill="FFFFFF" w:val="clear"/>
                    </w:rPr>
                    <w:t>通过前侧分析，我们对本节课主要有一下调整与思考：</w:t>
                  </w:r>
                </w:p>
                <w:p>
                  <w:pPr>
                    <w:pStyle w:val="null19"/>
                    <w:ind w:firstLine="480"/>
                    <w:jc w:val="both"/>
                  </w:pPr>
                  <w:r>
                    <w:rPr>
                      <w:rFonts w:ascii="仿宋" w:hAnsi="仿宋" w:cs="仿宋" w:eastAsia="仿宋"/>
                      <w:color w:val="E74C3C"/>
                      <w:sz w:val="28"/>
                      <w:shd w:fill="FFFFFF" w:val="clear"/>
                    </w:rPr>
                    <w:t>1、方法选择：</w:t>
                  </w:r>
                  <w:r>
                    <w:rPr>
                      <w:rFonts w:ascii="仿宋" w:hAnsi="仿宋" w:cs="仿宋" w:eastAsia="仿宋"/>
                      <w:color w:val="191919"/>
                      <w:sz w:val="28"/>
                      <w:shd w:fill="FFFFFF" w:val="clear"/>
                    </w:rPr>
                    <w:t>面对同一道题，选择不同的方法计算量也会有所不同，基于这一分析，我们将在复习课中对比两种方法，使学生感受到选择方法的重要性，也为进一步理解V=sh做铺垫。</w:t>
                  </w:r>
                </w:p>
                <w:p>
                  <w:pPr>
                    <w:pStyle w:val="null19"/>
                    <w:ind w:firstLine="480"/>
                    <w:jc w:val="both"/>
                  </w:pPr>
                  <w:r>
                    <w:rPr>
                      <w:rFonts w:ascii="仿宋" w:hAnsi="仿宋" w:cs="仿宋" w:eastAsia="仿宋"/>
                      <w:color w:val="E74C3C"/>
                      <w:sz w:val="28"/>
                      <w:shd w:fill="FFFFFF" w:val="clear"/>
                    </w:rPr>
                    <w:t>2、丰富认识：</w:t>
                  </w:r>
                  <w:r>
                    <w:rPr>
                      <w:rFonts w:ascii="仿宋" w:hAnsi="仿宋" w:cs="仿宋" w:eastAsia="仿宋"/>
                      <w:color w:val="191919"/>
                      <w:sz w:val="28"/>
                      <w:shd w:fill="FFFFFF" w:val="clear"/>
                    </w:rPr>
                    <w:t>学生对直柱体有一定的思维定势。试教过程中，面对底面不规则的直柱体时，学生很难换个角度观察想象。因此在课堂中，我们需要丰富学生对直柱体的认知，以及多角度观察思考的能力，帮学生搭建好现有水平与发展水平中的”脚手架”。</w:t>
                  </w:r>
                </w:p>
                <w:p>
                  <w:pPr>
                    <w:pStyle w:val="null19"/>
                    <w:ind w:firstLine="480"/>
                    <w:jc w:val="both"/>
                  </w:pPr>
                  <w:r>
                    <w:rPr>
                      <w:rFonts w:ascii="仿宋" w:hAnsi="仿宋" w:cs="仿宋" w:eastAsia="仿宋"/>
                      <w:color w:val="E74C3C"/>
                      <w:sz w:val="28"/>
                      <w:shd w:fill="FFFFFF" w:val="clear"/>
                    </w:rPr>
                    <w:t>3、思维结构化：</w:t>
                  </w:r>
                  <w:r>
                    <w:rPr>
                      <w:rFonts w:ascii="仿宋" w:hAnsi="仿宋" w:cs="仿宋" w:eastAsia="仿宋"/>
                      <w:color w:val="191919"/>
                      <w:sz w:val="28"/>
                      <w:shd w:fill="FFFFFF" w:val="clear"/>
                    </w:rPr>
                    <w:t>对立体图形的观察及认识，除了从”线”到"面”，也可以从”面”到"线”回过头来思考，整理复习课需要我们构建知识体系，揭示内在联系，从而不断促进学生形成结构化、系统化的思维方式，才能在解决问题的过程中提升学习力。</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教学工具</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0"/>
                    <w:jc w:val="both"/>
                  </w:pPr>
                  <w:r>
                    <w:rPr>
                      <w:rFonts w:ascii="仿宋" w:hAnsi="仿宋" w:cs="仿宋" w:eastAsia="仿宋"/>
                      <w:sz w:val="28"/>
                    </w:rPr>
                    <w:t>正方体，长方体，圆柱模型（教具），长方体小纸盒，小正方体模型，圆柱模型（学生版），三角板，课件，小组合作探究评价表。</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教学目标</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1"/>
                    <w:jc w:val="both"/>
                  </w:pPr>
                  <w:r>
                    <w:rPr>
                      <w:rFonts w:ascii="仿宋" w:hAnsi="仿宋" w:cs="仿宋" w:eastAsia="仿宋"/>
                      <w:sz w:val="28"/>
                    </w:rPr>
                    <w:t>【知识与技能】</w:t>
                  </w:r>
                  <w:r>
                    <w:rPr>
                      <w:rFonts w:ascii="仿宋" w:hAnsi="仿宋" w:cs="仿宋" w:eastAsia="仿宋"/>
                      <w:sz w:val="28"/>
                    </w:rPr>
                    <w:t>能理解直柱体表面积计算公式的一致性；会用“</w:t>
                  </w:r>
                  <w:r>
                    <w:drawing>
                      <wp:inline distT="0" distR="0" distB="0" distL="0">
                        <wp:extent cx="952500" cy="266700"/>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11"/>
                                <a:stretch>
                                  <a:fillRect/>
                                </a:stretch>
                              </pic:blipFill>
                              <pic:spPr>
                                <a:xfrm>
                                  <a:off x="0" y="0"/>
                                  <a:ext cx="952500" cy="266700"/>
                                </a:xfrm>
                                <a:prstGeom prst="rect">
                                  <a:avLst/>
                                </a:prstGeom>
                              </pic:spPr>
                            </pic:pic>
                          </a:graphicData>
                        </a:graphic>
                      </wp:inline>
                    </w:drawing>
                  </w:r>
                  <w:r>
                    <w:rPr>
                      <w:rFonts w:ascii="仿宋" w:hAnsi="仿宋" w:cs="仿宋" w:eastAsia="仿宋"/>
                      <w:sz w:val="28"/>
                    </w:rPr>
                    <w:t>”进行直柱体表面积的计算</w:t>
                  </w:r>
                </w:p>
                <w:p>
                  <w:pPr>
                    <w:pStyle w:val="null21"/>
                    <w:jc w:val="both"/>
                  </w:pPr>
                  <w:r>
                    <w:rPr>
                      <w:rFonts w:ascii="仿宋" w:hAnsi="仿宋" w:cs="仿宋" w:eastAsia="仿宋"/>
                      <w:sz w:val="28"/>
                    </w:rPr>
                    <w:t>【过程与方法】</w:t>
                  </w:r>
                  <w:r>
                    <w:rPr>
                      <w:rFonts w:ascii="仿宋" w:hAnsi="仿宋" w:cs="仿宋" w:eastAsia="仿宋"/>
                      <w:sz w:val="28"/>
                    </w:rPr>
                    <w:t>通过多样化的学习方式提升自主、合作、探究等学习能力，尤其是动手、思考和表达能力。</w:t>
                  </w:r>
                </w:p>
                <w:p>
                  <w:pPr>
                    <w:pStyle w:val="null21"/>
                    <w:jc w:val="both"/>
                  </w:pPr>
                  <w:r>
                    <w:rPr>
                      <w:rFonts w:ascii="仿宋" w:hAnsi="仿宋" w:cs="仿宋" w:eastAsia="仿宋"/>
                      <w:sz w:val="28"/>
                    </w:rPr>
                    <w:t>【情感态度与价值观】</w:t>
                  </w:r>
                  <w:r>
                    <w:rPr>
                      <w:rFonts w:ascii="仿宋" w:hAnsi="仿宋" w:cs="仿宋" w:eastAsia="仿宋"/>
                      <w:sz w:val="28"/>
                    </w:rPr>
                    <w:t>能感受数学与生活的联系，体会数学的价值，体会转化、类比、数形结合等数学思想和方法，增强创新意识，发展数学思考能力，提高自身的数学素养和空间想象能力。</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教学重难点</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2"/>
                    <w:jc w:val="both"/>
                  </w:pPr>
                  <w:r>
                    <w:rPr>
                      <w:rFonts w:ascii="仿宋" w:hAnsi="仿宋" w:cs="仿宋" w:eastAsia="仿宋"/>
                      <w:sz w:val="28"/>
                    </w:rPr>
                    <w:t>沟通立体图形的表面积和体积知识之间的关系，拓展图形测量的领域，体会二维和三维空间之间的转化关系。</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教学方法</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3"/>
                  </w:pPr>
                  <w:r>
                    <w:rPr>
                      <w:rFonts w:ascii="仿宋" w:hAnsi="仿宋" w:cs="仿宋" w:eastAsia="仿宋"/>
                      <w:sz w:val="28"/>
                    </w:rPr>
                    <w:t>讲授法、演示法、练习法</w:t>
                  </w:r>
                </w:p>
              </w:tc>
            </w:tr>
            <w:tr w14:paraId="033C6714"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104D5ED9" w14:textId="5C4A9EAB">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教学过程</w:t>
                  </w:r>
                </w:p>
              </w:tc>
            </w:tr>
            <w:tr w14:paraId="010689E0" w14:textId="77777777" w:rsidTr="004C580C">
              <w:tblPrEx>
                <w:tblW w:w="5000" w:type="pct"/>
                <w:tblCellMar>
                  <w:top w:w="15" w:type="dxa"/>
                  <w:left w:w="15" w:type="dxa"/>
                  <w:bottom w:w="15" w:type="dxa"/>
                  <w:right w:w="15" w:type="dxa"/>
                </w:tblCellMar>
                <w:tblLook w:val="04A0"/>
              </w:tblPrEx>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4B1F3E" w14:textId="79763B90">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环节</w:t>
                  </w:r>
                </w:p>
              </w:tc>
              <w:tc>
                <w:tcPr>
                  <w:tcW w:w="7721"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FA511D"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过程设计</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paraId="72E3FCA9"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一、知识梳理</w:t>
                        </w:r>
                      </w:p>
                    </w:tc>
                  </w:tr>
                </w:tbl>
                <w:p w:rsidR="006977DC" w:rsidRPr="00CE3A7E" w:rsidP="006977DC" w14:paraId="316379D2"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5</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4"/>
                    <w:jc w:val="both"/>
                  </w:pPr>
                  <w:r>
                    <w:rPr>
                      <w:rFonts w:ascii="仿宋" w:hAnsi="仿宋" w:cs="仿宋" w:eastAsia="仿宋"/>
                      <w:b/>
                      <w:color w:val="E74C3C"/>
                      <w:sz w:val="28"/>
                    </w:rPr>
                    <w:t>一、知识梳理</w:t>
                  </w:r>
                </w:p>
                <w:p>
                  <w:pPr>
                    <w:pStyle w:val="null24"/>
                    <w:ind w:firstLine="640"/>
                    <w:jc w:val="both"/>
                  </w:pPr>
                  <w:r>
                    <w:rPr>
                      <w:rFonts w:ascii="仿宋" w:hAnsi="仿宋" w:cs="仿宋" w:eastAsia="仿宋"/>
                      <w:sz w:val="28"/>
                    </w:rPr>
                    <w:t>回顾知识，公式，沟通联系，迅速打通旧知。</w:t>
                  </w:r>
                </w:p>
                <w:p>
                  <w:pPr>
                    <w:pStyle w:val="null24"/>
                  </w:pPr>
                  <w:r>
                    <w:rPr>
                      <w:rFonts w:ascii="仿宋" w:hAnsi="仿宋" w:cs="仿宋" w:eastAsia="仿宋"/>
                      <w:sz w:val="28"/>
                    </w:rPr>
                    <w:t xml:space="preserve">    出示正方体、长方体、圆柱三个立体图形模型</w:t>
                  </w:r>
                </w:p>
                <w:p>
                  <w:pPr>
                    <w:pStyle w:val="null24"/>
                  </w:pPr>
                  <w:r>
                    <w:rPr>
                      <w:rFonts w:ascii="仿宋" w:hAnsi="仿宋" w:cs="仿宋" w:eastAsia="仿宋"/>
                      <w:sz w:val="28"/>
                    </w:rPr>
                    <w:t xml:space="preserve">    师：立体图形的表面积指的是什么呢？</w:t>
                  </w:r>
                </w:p>
                <w:p>
                  <w:pPr>
                    <w:pStyle w:val="null24"/>
                  </w:pPr>
                  <w:r>
                    <w:rPr>
                      <w:rFonts w:ascii="仿宋" w:hAnsi="仿宋" w:cs="仿宋" w:eastAsia="仿宋"/>
                      <w:sz w:val="28"/>
                    </w:rPr>
                    <w:t xml:space="preserve">    生：表面的面积之和。</w:t>
                  </w:r>
                </w:p>
                <w:p>
                  <w:pPr>
                    <w:pStyle w:val="null24"/>
                  </w:pPr>
                  <w:r>
                    <w:rPr>
                      <w:rFonts w:ascii="仿宋" w:hAnsi="仿宋" w:cs="仿宋" w:eastAsia="仿宋"/>
                      <w:sz w:val="28"/>
                    </w:rPr>
                    <w:t xml:space="preserve">    师：你能摸一摸它在哪吗？</w:t>
                  </w:r>
                </w:p>
                <w:p>
                  <w:pPr>
                    <w:pStyle w:val="null24"/>
                  </w:pPr>
                  <w:r>
                    <w:rPr>
                      <w:rFonts w:ascii="仿宋" w:hAnsi="仿宋" w:cs="仿宋" w:eastAsia="仿宋"/>
                      <w:sz w:val="28"/>
                    </w:rPr>
                    <w:t xml:space="preserve">    师：这些立体图形的表面积怎么计算？</w:t>
                  </w:r>
                </w:p>
                <w:p>
                  <w:pPr>
                    <w:pStyle w:val="null24"/>
                  </w:pPr>
                  <w:r>
                    <w:rPr>
                      <w:rFonts w:ascii="仿宋" w:hAnsi="仿宋" w:cs="仿宋" w:eastAsia="仿宋"/>
                      <w:sz w:val="28"/>
                    </w:rPr>
                    <w:t xml:space="preserve">    学生计算相应的立体图形表面积，并回顾公式。</w:t>
                  </w:r>
                </w:p>
                <w:p>
                  <w:pPr>
                    <w:pStyle w:val="null24"/>
                  </w:pPr>
                  <w:r>
                    <w:rPr>
                      <w:rFonts w:ascii="仿宋" w:hAnsi="仿宋" w:cs="仿宋" w:eastAsia="仿宋"/>
                      <w:sz w:val="28"/>
                    </w:rPr>
                    <w:t xml:space="preserve">    师：同学们在自主复习时，有什么困惑吗？</w:t>
                  </w:r>
                </w:p>
                <w:p>
                  <w:pPr>
                    <w:pStyle w:val="null24"/>
                  </w:pPr>
                  <w:r>
                    <w:rPr>
                      <w:rFonts w:ascii="仿宋" w:hAnsi="仿宋" w:cs="仿宋" w:eastAsia="仿宋"/>
                      <w:sz w:val="28"/>
                    </w:rPr>
                    <w:t xml:space="preserve">    生：记错、记混，公式太多。</w:t>
                  </w:r>
                </w:p>
                <w:p>
                  <w:pPr>
                    <w:pStyle w:val="null24"/>
                  </w:pPr>
                  <w:r>
                    <w:rPr>
                      <w:rFonts w:ascii="仿宋" w:hAnsi="仿宋" w:cs="仿宋" w:eastAsia="仿宋"/>
                      <w:sz w:val="28"/>
                    </w:rPr>
                    <w:t xml:space="preserve">    师：我们今天探究把这几个立体图形的表面积归纳成一个公式。</w:t>
                  </w:r>
                </w:p>
                <w:p>
                  <w:pPr>
                    <w:pStyle w:val="null24"/>
                  </w:pPr>
                  <w:r>
                    <w:rPr>
                      <w:rFonts w:ascii="仿宋" w:hAnsi="仿宋" w:cs="仿宋" w:eastAsia="仿宋"/>
                      <w:sz w:val="28"/>
                    </w:rPr>
                    <w:t xml:space="preserve">   回顾表面积计算公式，并引导学生将公式进行统一，发现其内在一致性。</w:t>
                  </w:r>
                  <w:r>
                    <w:rPr>
                      <w:rFonts w:ascii="仿宋" w:hAnsi="仿宋" w:cs="仿宋" w:eastAsia="仿宋"/>
                      <w:sz w:val="28"/>
                    </w:rPr>
                    <w:t xml:space="preserve">  </w:t>
                  </w:r>
                </w:p>
                <w:p>
                  <w:pPr>
                    <w:pStyle w:val="null24"/>
                    <w:jc w:val="both"/>
                  </w:pPr>
                  <w:r>
                    <w:rPr>
                      <w:rFonts w:ascii="仿宋" w:hAnsi="仿宋" w:cs="仿宋" w:eastAsia="仿宋"/>
                      <w:sz w:val="28"/>
                    </w:rPr>
                    <w:t>[</w:t>
                  </w:r>
                  <w:r>
                    <w:rPr>
                      <w:rFonts w:ascii="仿宋" w:hAnsi="仿宋" w:cs="仿宋" w:eastAsia="仿宋"/>
                      <w:b/>
                      <w:sz w:val="28"/>
                    </w:rPr>
                    <w:t>设计意图：</w:t>
                  </w:r>
                  <w:r>
                    <w:rPr>
                      <w:rFonts w:ascii="仿宋" w:hAnsi="仿宋" w:cs="仿宋" w:eastAsia="仿宋"/>
                      <w:sz w:val="28"/>
                    </w:rPr>
                    <w:t xml:space="preserve">通过说一说、摸一摸、算一算等形式直击学生的旧知，实现学生关于立体图形表面积旧知的快速唤醒。采用不同方式组织学生回顾和回忆过去所学过的东西，可以让他们加深记忆，提升能力。将抽象问题转化为具体实例并加以描述，能使学生从直观形象中把握事物间关系的变化。六年级小学生正处在认知发展过渡期，对概念进行重新认识有助于小学生更好地理解立体图形。横向归纳是复习课的最低目标要求，要实现这一目标还需注重纵向梳理。运用比较的方法，指导学生站在整体角度对既往学习内容及学习过程进行再审视，对知识进行结构化梳理，实现知识由孤立到联系的转变，有利于学生认知平衡的构建。] </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二、探究活动</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15</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5"/>
                    <w:jc w:val="both"/>
                  </w:pPr>
                  <w:r>
                    <w:rPr>
                      <w:rFonts w:ascii="仿宋" w:hAnsi="仿宋" w:cs="仿宋" w:eastAsia="仿宋"/>
                      <w:b/>
                      <w:color w:val="E74C3C"/>
                      <w:sz w:val="28"/>
                    </w:rPr>
                    <w:t>二、动手操作，构建知识体系</w:t>
                  </w:r>
                </w:p>
                <w:p>
                  <w:pPr>
                    <w:pStyle w:val="null25"/>
                    <w:jc w:val="both"/>
                  </w:pPr>
                  <w:r>
                    <w:rPr>
                      <w:rFonts w:ascii="仿宋" w:hAnsi="仿宋" w:cs="仿宋" w:eastAsia="仿宋"/>
                      <w:sz w:val="28"/>
                    </w:rPr>
                    <w:t>师：我们是通过什么方法得到长方体、正方体、圆柱的表面积？</w:t>
                  </w:r>
                </w:p>
                <w:p>
                  <w:pPr>
                    <w:pStyle w:val="null25"/>
                  </w:pPr>
                  <w:r>
                    <w:rPr>
                      <w:rFonts w:ascii="仿宋" w:hAnsi="仿宋" w:cs="仿宋" w:eastAsia="仿宋"/>
                      <w:sz w:val="28"/>
                    </w:rPr>
                    <w:t>生：将他们剪开，得到平面展开图。</w:t>
                  </w:r>
                </w:p>
                <w:p>
                  <w:pPr>
                    <w:pStyle w:val="null25"/>
                  </w:pPr>
                  <w:r>
                    <w:rPr>
                      <w:rFonts w:ascii="仿宋" w:hAnsi="仿宋" w:cs="仿宋" w:eastAsia="仿宋"/>
                      <w:sz w:val="28"/>
                    </w:rPr>
                    <w:t>师：可是这是一个实心的立体图形，并不能剪开，还有其他方法吗？</w:t>
                  </w:r>
                </w:p>
                <w:p>
                  <w:pPr>
                    <w:pStyle w:val="null25"/>
                  </w:pPr>
                  <w:r>
                    <w:rPr>
                      <w:rFonts w:ascii="仿宋" w:hAnsi="仿宋" w:cs="仿宋" w:eastAsia="仿宋"/>
                      <w:sz w:val="28"/>
                    </w:rPr>
                    <w:t>小组合作，动手操作想象，将立体图形的表面积“画”在纸上。</w:t>
                  </w:r>
                </w:p>
                <w:p>
                  <w:pPr>
                    <w:pStyle w:val="null25"/>
                  </w:pPr>
                  <w:r>
                    <w:rPr>
                      <w:rFonts w:ascii="仿宋" w:hAnsi="仿宋" w:cs="仿宋" w:eastAsia="仿宋"/>
                      <w:sz w:val="28"/>
                    </w:rPr>
                    <w:t>生：将它们滚一圈，将侧面依次画出，再将两个底面画出。</w:t>
                  </w:r>
                </w:p>
                <w:p>
                  <w:pPr>
                    <w:pStyle w:val="null25"/>
                  </w:pPr>
                  <w:r>
                    <w:rPr>
                      <w:rFonts w:ascii="仿宋" w:hAnsi="仿宋" w:cs="仿宋" w:eastAsia="仿宋"/>
                      <w:sz w:val="28"/>
                    </w:rPr>
                    <w:t>（出示图3）在动手操作的过程中，将立体图形转化为平面图形，了解各个柱体间面的组成之间联系，即都是由侧面和上下底面组成。实现柱体表面积计算公式的再认识，引发冲突，启发联想。</w:t>
                  </w:r>
                </w:p>
                <w:p>
                  <w:pPr>
                    <w:pStyle w:val="null25"/>
                    <w:jc w:val="both"/>
                  </w:pPr>
                  <w:r>
                    <w:rPr>
                      <w:rFonts w:ascii="仿宋" w:hAnsi="仿宋" w:cs="仿宋" w:eastAsia="仿宋"/>
                      <w:sz w:val="28"/>
                    </w:rPr>
                    <w:t xml:space="preserve"> </w:t>
                  </w:r>
                </w:p>
                <w:p>
                  <w:pPr>
                    <w:pStyle w:val="null25"/>
                    <w:jc w:val="both"/>
                  </w:pPr>
                  <w:r>
                    <w:drawing>
                      <wp:inline distT="0" distR="0" distB="0" distL="0">
                        <wp:extent cx="4765675" cy="1863009"/>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12"/>
                                <a:stretch>
                                  <a:fillRect/>
                                </a:stretch>
                              </pic:blipFill>
                              <pic:spPr>
                                <a:xfrm>
                                  <a:off x="0" y="0"/>
                                  <a:ext cx="4765675" cy="1863009"/>
                                </a:xfrm>
                                <a:prstGeom prst="rect">
                                  <a:avLst/>
                                </a:prstGeom>
                              </pic:spPr>
                            </pic:pic>
                          </a:graphicData>
                        </a:graphic>
                      </wp:inline>
                    </w:drawing>
                  </w:r>
                </w:p>
                <w:p>
                  <w:pPr>
                    <w:pStyle w:val="null25"/>
                    <w:ind w:firstLine="640"/>
                    <w:jc w:val="left"/>
                  </w:pPr>
                  <w:r>
                    <w:rPr>
                      <w:rFonts w:ascii="仿宋" w:hAnsi="仿宋" w:cs="仿宋" w:eastAsia="仿宋"/>
                      <w:sz w:val="28"/>
                    </w:rPr>
                    <w:t>师：通过平面组合图形，发现它们的表面积都可由一个侧面积加两个底面积组成，那么我们能不能统一它们的表面积公式？侧面积等于什么？（</w:t>
                  </w:r>
                  <w:r>
                    <w:rPr>
                      <w:rFonts w:ascii="仿宋" w:hAnsi="仿宋" w:cs="仿宋" w:eastAsia="仿宋"/>
                      <w:sz w:val="28"/>
                    </w:rPr>
                    <w:t>交流展示，理清脉络，拓展思路）。</w:t>
                  </w:r>
                </w:p>
                <w:p>
                  <w:pPr>
                    <w:pStyle w:val="null25"/>
                    <w:ind w:firstLine="640"/>
                    <w:jc w:val="left"/>
                  </w:pPr>
                  <w:r>
                    <w:rPr>
                      <w:rFonts w:ascii="仿宋" w:hAnsi="仿宋" w:cs="仿宋" w:eastAsia="仿宋"/>
                      <w:sz w:val="28"/>
                    </w:rPr>
                    <w:t>生：</w:t>
                  </w:r>
                  <w:r>
                    <w:drawing>
                      <wp:inline distT="0" distR="0" distB="0" distL="0">
                        <wp:extent cx="1028700" cy="314325"/>
                        <wp:docPr id="5" name="Drawing 5" descr="img"/>
                        <a:graphic xmlns:a="http://schemas.openxmlformats.org/drawingml/2006/main">
                          <a:graphicData uri="http://schemas.openxmlformats.org/drawingml/2006/picture">
                            <pic:pic xmlns:pic="http://schemas.openxmlformats.org/drawingml/2006/picture">
                              <pic:nvPicPr>
                                <pic:cNvPr id="0" name="Picture 5" descr="img"/>
                                <pic:cNvPicPr>
                                  <a:picLocks noChangeAspect="true"/>
                                </pic:cNvPicPr>
                              </pic:nvPicPr>
                              <pic:blipFill>
                                <a:blip r:embed="rId13"/>
                                <a:stretch>
                                  <a:fillRect/>
                                </a:stretch>
                              </pic:blipFill>
                              <pic:spPr>
                                <a:xfrm>
                                  <a:off x="0" y="0"/>
                                  <a:ext cx="1028700" cy="314325"/>
                                </a:xfrm>
                                <a:prstGeom prst="rect">
                                  <a:avLst/>
                                </a:prstGeom>
                              </pic:spPr>
                            </pic:pic>
                          </a:graphicData>
                        </a:graphic>
                      </wp:inline>
                    </w:drawing>
                  </w:r>
                  <w:r>
                    <w:rPr>
                      <w:rFonts w:ascii="仿宋" w:hAnsi="仿宋" w:cs="仿宋" w:eastAsia="仿宋"/>
                      <w:sz w:val="28"/>
                    </w:rPr>
                    <w:t>和</w:t>
                  </w:r>
                  <w:r>
                    <w:drawing>
                      <wp:inline distT="0" distR="0" distB="0" distL="0">
                        <wp:extent cx="1066800" cy="266700"/>
                        <wp:docPr id="6" name="Drawing 6" descr="img"/>
                        <a:graphic xmlns:a="http://schemas.openxmlformats.org/drawingml/2006/main">
                          <a:graphicData uri="http://schemas.openxmlformats.org/drawingml/2006/picture">
                            <pic:pic xmlns:pic="http://schemas.openxmlformats.org/drawingml/2006/picture">
                              <pic:nvPicPr>
                                <pic:cNvPr id="0" name="Picture 6" descr="img"/>
                                <pic:cNvPicPr>
                                  <a:picLocks noChangeAspect="true"/>
                                </pic:cNvPicPr>
                              </pic:nvPicPr>
                              <pic:blipFill>
                                <a:blip r:embed="rId14"/>
                                <a:stretch>
                                  <a:fillRect/>
                                </a:stretch>
                              </pic:blipFill>
                              <pic:spPr>
                                <a:xfrm>
                                  <a:off x="0" y="0"/>
                                  <a:ext cx="1066800" cy="266700"/>
                                </a:xfrm>
                                <a:prstGeom prst="rect">
                                  <a:avLst/>
                                </a:prstGeom>
                              </pic:spPr>
                            </pic:pic>
                          </a:graphicData>
                        </a:graphic>
                      </wp:inline>
                    </w:drawing>
                  </w:r>
                  <w:r>
                    <w:rPr>
                      <w:rFonts w:ascii="仿宋" w:hAnsi="仿宋" w:cs="仿宋" w:eastAsia="仿宋"/>
                      <w:sz w:val="28"/>
                    </w:rPr>
                    <w:t>（多人总结，对比优化，形成统一性公式）。</w:t>
                  </w:r>
                </w:p>
                <w:p>
                  <w:pPr>
                    <w:pStyle w:val="null25"/>
                    <w:ind w:firstLine="640"/>
                    <w:jc w:val="both"/>
                  </w:pPr>
                  <w:r>
                    <w:rPr>
                      <w:rFonts w:ascii="仿宋" w:hAnsi="仿宋" w:cs="仿宋" w:eastAsia="仿宋"/>
                      <w:sz w:val="28"/>
                    </w:rPr>
                    <w:t>[</w:t>
                  </w:r>
                  <w:r>
                    <w:rPr>
                      <w:rFonts w:ascii="仿宋" w:hAnsi="仿宋" w:cs="仿宋" w:eastAsia="仿宋"/>
                      <w:b/>
                      <w:sz w:val="28"/>
                    </w:rPr>
                    <w:t>设计意图：</w:t>
                  </w:r>
                  <w:r>
                    <w:rPr>
                      <w:rFonts w:ascii="仿宋" w:hAnsi="仿宋" w:cs="仿宋" w:eastAsia="仿宋"/>
                      <w:sz w:val="28"/>
                    </w:rPr>
                    <w:t>出示图2的立体图形的展开图是为了在对比中找到三者表面积的共性，即表面积是侧面积加底面积，这样更易于学生迁移。学生动手操作，真切感知表面积的实质意义，引导学生将表面积从“体”上剥离到平面，实现从立体图形表面积到多个平面图形面积组合的转化。在新课教授中，我们更倾向于强调上位学习与转化思想。而转化思想在运用过程中存在一定困难，所以安排在多个年级进行分段教学。但是到了六年级总复习阶段学生认知已经得到了发展，能够对这一系列转化过程进行较为清晰和全面的了解</w:t>
                  </w:r>
                  <w:r>
                    <w:rPr>
                      <w:rFonts w:ascii="仿宋" w:hAnsi="仿宋" w:cs="仿宋" w:eastAsia="仿宋"/>
                      <w:sz w:val="28"/>
                    </w:rPr>
                    <w:t>。关注教学行为，把“要我学”转变为“我要学”，通过诱发认知冲突来破坏原有认知平衡进而构建新认知平衡，打通直柱体之间的表面积公式，实现大单元脉络，以及知识结构的再出发。]</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三、反馈提升</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18</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6"/>
                    <w:ind w:left="645"/>
                    <w:jc w:val="both"/>
                  </w:pPr>
                  <w:r>
                    <w:rPr>
                      <w:rFonts w:ascii="仿宋" w:hAnsi="仿宋" w:cs="仿宋" w:eastAsia="仿宋"/>
                      <w:b/>
                      <w:sz w:val="28"/>
                    </w:rPr>
                    <w:t>三、巩固提升，促进知识融通</w:t>
                  </w:r>
                </w:p>
                <w:p>
                  <w:pPr>
                    <w:pStyle w:val="null26"/>
                    <w:ind w:firstLine="640"/>
                    <w:jc w:val="both"/>
                  </w:pPr>
                  <w:r>
                    <w:rPr>
                      <w:rFonts w:ascii="仿宋" w:hAnsi="仿宋" w:cs="仿宋" w:eastAsia="仿宋"/>
                      <w:color w:val="E74C3C"/>
                      <w:sz w:val="28"/>
                    </w:rPr>
                    <w:t>（一）巩固运用</w:t>
                  </w:r>
                </w:p>
                <w:p>
                  <w:pPr>
                    <w:pStyle w:val="null26"/>
                  </w:pPr>
                  <w:r>
                    <w:rPr>
                      <w:rFonts w:ascii="仿宋" w:hAnsi="仿宋" w:cs="仿宋" w:eastAsia="仿宋"/>
                      <w:sz w:val="28"/>
                    </w:rPr>
                    <w:t>师：你知道望城的乌山贡茶吗？千载流传的乌山贡茶，曾在第十四届“茶祖神农杯”上荣获金奖殊荣。如果给它设计以下两种包装盒（出示图4），根据图上数据，你能很快的算出谁的侧面积大？谁的表面积大？（突出快，引发应用思考）。</w:t>
                  </w:r>
                </w:p>
                <w:p>
                  <w:pPr>
                    <w:pStyle w:val="null26"/>
                  </w:pPr>
                  <w:r>
                    <w:rPr>
                      <w:rFonts w:ascii="仿宋" w:hAnsi="仿宋" w:cs="仿宋" w:eastAsia="仿宋"/>
                      <w:sz w:val="28"/>
                    </w:rPr>
                    <w:t>生1：将所有面的面积算出再相加，得到它们的表面积，再比较。</w:t>
                  </w:r>
                </w:p>
                <w:p>
                  <w:pPr>
                    <w:pStyle w:val="null26"/>
                  </w:pPr>
                  <w:r>
                    <w:rPr>
                      <w:rFonts w:ascii="仿宋" w:hAnsi="仿宋" w:cs="仿宋" w:eastAsia="仿宋"/>
                      <w:sz w:val="28"/>
                    </w:rPr>
                    <w:t>生2：发现两个包装盒的底面周长相等，高也相等，所以侧面积相等，根据</w:t>
                  </w:r>
                  <w:r>
                    <w:drawing>
                      <wp:inline distT="0" distR="0" distB="0" distL="0">
                        <wp:extent cx="1114425" cy="276225"/>
                        <wp:docPr id="7" name="Drawing 7" descr="img"/>
                        <a:graphic xmlns:a="http://schemas.openxmlformats.org/drawingml/2006/main">
                          <a:graphicData uri="http://schemas.openxmlformats.org/drawingml/2006/picture">
                            <pic:pic xmlns:pic="http://schemas.openxmlformats.org/drawingml/2006/picture">
                              <pic:nvPicPr>
                                <pic:cNvPr id="0" name="Picture 7" descr="img"/>
                                <pic:cNvPicPr>
                                  <a:picLocks noChangeAspect="true"/>
                                </pic:cNvPicPr>
                              </pic:nvPicPr>
                              <pic:blipFill>
                                <a:blip r:embed="rId14"/>
                                <a:stretch>
                                  <a:fillRect/>
                                </a:stretch>
                              </pic:blipFill>
                              <pic:spPr>
                                <a:xfrm>
                                  <a:off x="0" y="0"/>
                                  <a:ext cx="1114425" cy="276225"/>
                                </a:xfrm>
                                <a:prstGeom prst="rect">
                                  <a:avLst/>
                                </a:prstGeom>
                              </pic:spPr>
                            </pic:pic>
                          </a:graphicData>
                        </a:graphic>
                      </wp:inline>
                    </w:drawing>
                  </w:r>
                  <w:r>
                    <w:rPr>
                      <w:rFonts w:ascii="仿宋" w:hAnsi="仿宋" w:cs="仿宋" w:eastAsia="仿宋"/>
                      <w:sz w:val="28"/>
                    </w:rPr>
                    <w:t>，比较表面积的大小，就只需要比较底面积的大小。</w:t>
                  </w:r>
                </w:p>
                <w:p>
                  <w:pPr>
                    <w:pStyle w:val="null26"/>
                    <w:jc w:val="both"/>
                  </w:pPr>
                  <w:r>
                    <w:rPr>
                      <w:rFonts w:ascii="仿宋" w:hAnsi="仿宋" w:cs="仿宋" w:eastAsia="仿宋"/>
                      <w:sz w:val="28"/>
                    </w:rPr>
                    <w:t xml:space="preserve">   </w:t>
                  </w:r>
                  <w:r>
                    <w:drawing>
                      <wp:inline distT="0" distR="0" distB="0" distL="0">
                        <wp:extent cx="3419475" cy="1676400"/>
                        <wp:docPr id="8" name="Drawing 8" descr="img"/>
                        <a:graphic xmlns:a="http://schemas.openxmlformats.org/drawingml/2006/main">
                          <a:graphicData uri="http://schemas.openxmlformats.org/drawingml/2006/picture">
                            <pic:pic xmlns:pic="http://schemas.openxmlformats.org/drawingml/2006/picture">
                              <pic:nvPicPr>
                                <pic:cNvPr id="0" name="Picture 8" descr="img"/>
                                <pic:cNvPicPr>
                                  <a:picLocks noChangeAspect="true"/>
                                </pic:cNvPicPr>
                              </pic:nvPicPr>
                              <pic:blipFill>
                                <a:blip r:embed="rId15"/>
                                <a:stretch>
                                  <a:fillRect/>
                                </a:stretch>
                              </pic:blipFill>
                              <pic:spPr>
                                <a:xfrm>
                                  <a:off x="0" y="0"/>
                                  <a:ext cx="3419475" cy="1676400"/>
                                </a:xfrm>
                                <a:prstGeom prst="rect">
                                  <a:avLst/>
                                </a:prstGeom>
                              </pic:spPr>
                            </pic:pic>
                          </a:graphicData>
                        </a:graphic>
                      </wp:inline>
                    </w:drawing>
                  </w:r>
                  <w:r>
                    <w:drawing>
                      <wp:inline distT="0" distR="0" distB="0" distL="0">
                        <wp:extent cx="2790825" cy="1114425"/>
                        <wp:docPr id="9" name="Drawing 9" descr="img"/>
                        <a:graphic xmlns:a="http://schemas.openxmlformats.org/drawingml/2006/main">
                          <a:graphicData uri="http://schemas.openxmlformats.org/drawingml/2006/picture">
                            <pic:pic xmlns:pic="http://schemas.openxmlformats.org/drawingml/2006/picture">
                              <pic:nvPicPr>
                                <pic:cNvPr id="0" name="Picture 9" descr="img"/>
                                <pic:cNvPicPr>
                                  <a:picLocks noChangeAspect="true"/>
                                </pic:cNvPicPr>
                              </pic:nvPicPr>
                              <pic:blipFill>
                                <a:blip r:embed="rId16"/>
                                <a:stretch>
                                  <a:fillRect/>
                                </a:stretch>
                              </pic:blipFill>
                              <pic:spPr>
                                <a:xfrm>
                                  <a:off x="0" y="0"/>
                                  <a:ext cx="2790825" cy="1114425"/>
                                </a:xfrm>
                                <a:prstGeom prst="rect">
                                  <a:avLst/>
                                </a:prstGeom>
                              </pic:spPr>
                            </pic:pic>
                          </a:graphicData>
                        </a:graphic>
                      </wp:inline>
                    </w:drawing>
                  </w:r>
                </w:p>
                <w:p>
                  <w:pPr>
                    <w:pStyle w:val="null26"/>
                    <w:jc w:val="both"/>
                  </w:pPr>
                  <w:r>
                    <w:rPr>
                      <w:rFonts w:ascii="仿宋" w:hAnsi="仿宋" w:cs="仿宋" w:eastAsia="仿宋"/>
                      <w:sz w:val="28"/>
                    </w:rPr>
                    <w:t xml:space="preserve">                                                     图5                                                                                    图6</w:t>
                  </w:r>
                </w:p>
                <w:p>
                  <w:pPr>
                    <w:pStyle w:val="null26"/>
                    <w:ind w:firstLine="640"/>
                    <w:jc w:val="left"/>
                  </w:pPr>
                  <w:r>
                    <w:rPr>
                      <w:rFonts w:ascii="仿宋" w:hAnsi="仿宋" w:cs="仿宋" w:eastAsia="仿宋"/>
                      <w:sz w:val="28"/>
                    </w:rPr>
                    <w:t>[</w:t>
                  </w:r>
                  <w:r>
                    <w:rPr>
                      <w:rFonts w:ascii="仿宋" w:hAnsi="仿宋" w:cs="仿宋" w:eastAsia="仿宋"/>
                      <w:b/>
                      <w:sz w:val="28"/>
                    </w:rPr>
                    <w:t>设计意图</w:t>
                  </w:r>
                  <w:r>
                    <w:rPr>
                      <w:rFonts w:ascii="仿宋" w:hAnsi="仿宋" w:cs="仿宋" w:eastAsia="仿宋"/>
                      <w:b/>
                      <w:sz w:val="28"/>
                    </w:rPr>
                    <w:t>:</w:t>
                  </w:r>
                  <w:r>
                    <w:rPr>
                      <w:rFonts w:ascii="仿宋" w:hAnsi="仿宋" w:cs="仿宋" w:eastAsia="仿宋"/>
                      <w:sz w:val="28"/>
                    </w:rPr>
                    <w:t>在以家乡千年名茶为背景的情境中，唤起学生对家乡的热爱之情，让他们深刻感受到家乡浓郁的茶香和传统文化的底蕴，从而深入了解中国茶文化，激发他们对茶文化的热爱之情。为了激发学生解决问题的欲望，我们设计一个提供包装盒的方案需求。这道问题牵涉到表面积，通过对比原有方法，学生可以感知到</w:t>
                  </w:r>
                  <w:r>
                    <w:rPr>
                      <w:rFonts w:ascii="仿宋" w:hAnsi="仿宋" w:cs="仿宋" w:eastAsia="仿宋"/>
                      <w:sz w:val="28"/>
                    </w:rPr>
                    <w:t>知识之间的相互关联，优化方法，从而提升学生的思维水平。通过引导分析题目中出现的图形特征和数值关系，培养了学生的逻辑思维能力。对教材中相关内容进行整合，让学生体会到数学与生活之间存在着密切的联系，从而使他们感受到数学知识来源于生活实践，又服务于现实生活。]</w:t>
                  </w:r>
                </w:p>
                <w:p>
                  <w:pPr>
                    <w:pStyle w:val="null26"/>
                    <w:ind w:firstLine="640"/>
                    <w:jc w:val="both"/>
                  </w:pPr>
                  <w:r>
                    <w:rPr>
                      <w:rFonts w:ascii="仿宋" w:hAnsi="仿宋" w:cs="仿宋" w:eastAsia="仿宋"/>
                      <w:color w:val="E74C3C"/>
                      <w:sz w:val="28"/>
                    </w:rPr>
                    <w:t>（二）迁移归纳</w:t>
                  </w:r>
                </w:p>
                <w:p>
                  <w:pPr>
                    <w:pStyle w:val="null26"/>
                    <w:ind w:firstLine="640"/>
                    <w:jc w:val="both"/>
                  </w:pPr>
                  <w:r>
                    <w:rPr>
                      <w:rFonts w:ascii="仿宋" w:hAnsi="仿宋" w:cs="仿宋" w:eastAsia="仿宋"/>
                      <w:sz w:val="28"/>
                    </w:rPr>
                    <w:t>师：如果设计成其他立体图形，你还可以计算出至少需要多少标签纸吗？（见上图5）</w:t>
                  </w:r>
                </w:p>
                <w:p>
                  <w:pPr>
                    <w:pStyle w:val="null26"/>
                    <w:ind w:firstLine="640"/>
                    <w:jc w:val="both"/>
                  </w:pPr>
                  <w:r>
                    <w:rPr>
                      <w:rFonts w:ascii="仿宋" w:hAnsi="仿宋" w:cs="仿宋" w:eastAsia="仿宋"/>
                      <w:sz w:val="28"/>
                    </w:rPr>
                    <w:t>师：（出示图6）还有其他的立体图形，你会怎样思考？</w:t>
                  </w:r>
                </w:p>
                <w:p>
                  <w:pPr>
                    <w:pStyle w:val="null26"/>
                    <w:ind w:firstLine="640"/>
                    <w:jc w:val="both"/>
                  </w:pPr>
                  <w:r>
                    <w:drawing>
                      <wp:inline distT="0" distR="0" distB="0" distL="0">
                        <wp:extent cx="4765675" cy="1610827"/>
                        <wp:docPr id="10" name="Drawing 10" descr="img"/>
                        <a:graphic xmlns:a="http://schemas.openxmlformats.org/drawingml/2006/main">
                          <a:graphicData uri="http://schemas.openxmlformats.org/drawingml/2006/picture">
                            <pic:pic xmlns:pic="http://schemas.openxmlformats.org/drawingml/2006/picture">
                              <pic:nvPicPr>
                                <pic:cNvPr id="0" name="Picture 10" descr="img"/>
                                <pic:cNvPicPr>
                                  <a:picLocks noChangeAspect="true"/>
                                </pic:cNvPicPr>
                              </pic:nvPicPr>
                              <pic:blipFill>
                                <a:blip r:embed="rId17"/>
                                <a:stretch>
                                  <a:fillRect/>
                                </a:stretch>
                              </pic:blipFill>
                              <pic:spPr>
                                <a:xfrm>
                                  <a:off x="0" y="0"/>
                                  <a:ext cx="4765675" cy="1610827"/>
                                </a:xfrm>
                                <a:prstGeom prst="rect">
                                  <a:avLst/>
                                </a:prstGeom>
                              </pic:spPr>
                            </pic:pic>
                          </a:graphicData>
                        </a:graphic>
                      </wp:inline>
                    </w:drawing>
                  </w:r>
                </w:p>
                <w:p>
                  <w:pPr>
                    <w:pStyle w:val="null26"/>
                    <w:jc w:val="both"/>
                  </w:pPr>
                  <w:r>
                    <w:rPr>
                      <w:rFonts w:ascii="仿宋" w:hAnsi="仿宋" w:cs="仿宋" w:eastAsia="仿宋"/>
                      <w:sz w:val="28"/>
                    </w:rPr>
                    <w:t xml:space="preserve">  </w:t>
                  </w:r>
                  <w:r>
                    <w:rPr>
                      <w:rFonts w:ascii="仿宋" w:hAnsi="仿宋" w:cs="仿宋" w:eastAsia="仿宋"/>
                      <w:sz w:val="28"/>
                    </w:rPr>
                    <w:t xml:space="preserve"> 师：像这样直直的，上下底面完全相同，而且上下粗细也一样的立体图形，叫直柱体。所有的直柱体都可以运用</w:t>
                  </w:r>
                  <w:r>
                    <w:drawing>
                      <wp:inline distT="0" distR="0" distB="0" distL="0">
                        <wp:extent cx="742950" cy="228600"/>
                        <wp:docPr id="11" name="Drawing 11" descr="img"/>
                        <a:graphic xmlns:a="http://schemas.openxmlformats.org/drawingml/2006/main">
                          <a:graphicData uri="http://schemas.openxmlformats.org/drawingml/2006/picture">
                            <pic:pic xmlns:pic="http://schemas.openxmlformats.org/drawingml/2006/picture">
                              <pic:nvPicPr>
                                <pic:cNvPr id="0" name="Picture 11" descr="img"/>
                                <pic:cNvPicPr>
                                  <a:picLocks noChangeAspect="true"/>
                                </pic:cNvPicPr>
                              </pic:nvPicPr>
                              <pic:blipFill>
                                <a:blip r:embed="rId18"/>
                                <a:stretch>
                                  <a:fillRect/>
                                </a:stretch>
                              </pic:blipFill>
                              <pic:spPr>
                                <a:xfrm>
                                  <a:off x="0" y="0"/>
                                  <a:ext cx="742950" cy="228600"/>
                                </a:xfrm>
                                <a:prstGeom prst="rect">
                                  <a:avLst/>
                                </a:prstGeom>
                              </pic:spPr>
                            </pic:pic>
                          </a:graphicData>
                        </a:graphic>
                      </wp:inline>
                    </w:drawing>
                  </w:r>
                  <w:r>
                    <w:rPr>
                      <w:rFonts w:ascii="仿宋" w:hAnsi="仿宋" w:cs="仿宋" w:eastAsia="仿宋"/>
                      <w:sz w:val="28"/>
                    </w:rPr>
                    <w:t>和</w:t>
                  </w:r>
                  <w:r>
                    <w:drawing>
                      <wp:inline distT="0" distR="0" distB="0" distL="0">
                        <wp:extent cx="1066800" cy="266700"/>
                        <wp:docPr id="12" name="Drawing 12" descr="img"/>
                        <a:graphic xmlns:a="http://schemas.openxmlformats.org/drawingml/2006/main">
                          <a:graphicData uri="http://schemas.openxmlformats.org/drawingml/2006/picture">
                            <pic:pic xmlns:pic="http://schemas.openxmlformats.org/drawingml/2006/picture">
                              <pic:nvPicPr>
                                <pic:cNvPr id="0" name="Picture 12" descr="img"/>
                                <pic:cNvPicPr>
                                  <a:picLocks noChangeAspect="true"/>
                                </pic:cNvPicPr>
                              </pic:nvPicPr>
                              <pic:blipFill>
                                <a:blip r:embed="rId14"/>
                                <a:stretch>
                                  <a:fillRect/>
                                </a:stretch>
                              </pic:blipFill>
                              <pic:spPr>
                                <a:xfrm>
                                  <a:off x="0" y="0"/>
                                  <a:ext cx="1066800" cy="266700"/>
                                </a:xfrm>
                                <a:prstGeom prst="rect">
                                  <a:avLst/>
                                </a:prstGeom>
                              </pic:spPr>
                            </pic:pic>
                          </a:graphicData>
                        </a:graphic>
                      </wp:inline>
                    </w:drawing>
                  </w:r>
                  <w:r>
                    <w:rPr>
                      <w:rFonts w:ascii="仿宋" w:hAnsi="仿宋" w:cs="仿宋" w:eastAsia="仿宋"/>
                      <w:sz w:val="28"/>
                    </w:rPr>
                    <w:t>计算。</w:t>
                  </w:r>
                </w:p>
                <w:p>
                  <w:pPr>
                    <w:pStyle w:val="null26"/>
                    <w:jc w:val="both"/>
                  </w:pPr>
                  <w:r>
                    <w:rPr>
                      <w:rFonts w:ascii="仿宋" w:hAnsi="仿宋" w:cs="仿宋" w:eastAsia="仿宋"/>
                      <w:sz w:val="28"/>
                    </w:rPr>
                    <w:t xml:space="preserve">           </w:t>
                  </w:r>
                  <w:r>
                    <w:rPr>
                      <w:rFonts w:ascii="仿宋" w:hAnsi="仿宋" w:cs="仿宋" w:eastAsia="仿宋"/>
                      <w:sz w:val="28"/>
                    </w:rPr>
                    <w:t>利用信息技术，直观展示正n棱柱的展开图，总结表面积都可用统一公式计算。</w:t>
                  </w:r>
                </w:p>
                <w:p>
                  <w:pPr>
                    <w:pStyle w:val="null26"/>
                    <w:ind w:firstLine="640"/>
                    <w:jc w:val="both"/>
                  </w:pPr>
                  <w:r>
                    <w:rPr>
                      <w:rFonts w:ascii="仿宋" w:hAnsi="仿宋" w:cs="仿宋" w:eastAsia="仿宋"/>
                      <w:sz w:val="28"/>
                    </w:rPr>
                    <w:t>[</w:t>
                  </w:r>
                  <w:r>
                    <w:rPr>
                      <w:rFonts w:ascii="仿宋" w:hAnsi="仿宋" w:cs="仿宋" w:eastAsia="仿宋"/>
                      <w:b/>
                      <w:sz w:val="28"/>
                    </w:rPr>
                    <w:t>设计意图:</w:t>
                  </w:r>
                  <w:r>
                    <w:rPr>
                      <w:rFonts w:ascii="仿宋" w:hAnsi="仿宋" w:cs="仿宋" w:eastAsia="仿宋"/>
                      <w:sz w:val="28"/>
                    </w:rPr>
                    <w:t>利用横向对比，知识正迁移，构建知识间的整体性。沟通联系表面积，提高思维灵活性。在经历长方体、正方体、</w:t>
                  </w:r>
                  <w:r>
                    <w:rPr>
                      <w:rFonts w:ascii="仿宋" w:hAnsi="仿宋" w:cs="仿宋" w:eastAsia="仿宋"/>
                      <w:sz w:val="28"/>
                    </w:rPr>
                    <w:t>圆柱表面积的复习，获得直柱体表面积计算的统一公式，实现上位学习。“三基”同步教学是一种新的教学方法和教学模式，它把学生在学习中所需要掌握的基础基础知识与学科之间进行有效地链接起来，使他们通过相互交流而形成了一个有机整体。]</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四、课堂小结</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2</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7"/>
                    <w:jc w:val="both"/>
                  </w:pPr>
                  <w:r>
                    <w:rPr>
                      <w:rFonts w:ascii="仿宋" w:hAnsi="仿宋" w:cs="仿宋" w:eastAsia="仿宋"/>
                      <w:b/>
                      <w:sz w:val="28"/>
                    </w:rPr>
                    <w:t>四、课堂小结</w:t>
                  </w:r>
                </w:p>
                <w:p>
                  <w:pPr>
                    <w:pStyle w:val="null27"/>
                    <w:jc w:val="both"/>
                  </w:pPr>
                  <w:r>
                    <w:rPr>
                      <w:rFonts w:ascii="仿宋" w:hAnsi="仿宋" w:cs="仿宋" w:eastAsia="仿宋"/>
                      <w:sz w:val="28"/>
                    </w:rPr>
                    <w:t>同学们，</w:t>
                  </w:r>
                  <w:r>
                    <w:rPr>
                      <w:rFonts w:ascii="仿宋" w:hAnsi="仿宋" w:cs="仿宋" w:eastAsia="仿宋"/>
                      <w:sz w:val="28"/>
                    </w:rPr>
                    <w:t>今天的数学课你们有哪些收获？</w:t>
                  </w:r>
                </w:p>
                <w:p>
                  <w:pPr>
                    <w:pStyle w:val="null27"/>
                    <w:jc w:val="both"/>
                  </w:pPr>
                  <w:r>
                    <w:rPr>
                      <w:rFonts w:ascii="仿宋" w:hAnsi="仿宋" w:cs="仿宋" w:eastAsia="仿宋"/>
                      <w:sz w:val="28"/>
                    </w:rPr>
                    <w:t>预设：知道所有直柱体的表面积公式都可以归纳为S</w:t>
                  </w:r>
                  <w:r>
                    <w:rPr>
                      <w:rFonts w:ascii="仿宋" w:hAnsi="仿宋" w:cs="仿宋" w:eastAsia="仿宋"/>
                      <w:sz w:val="28"/>
                      <w:vertAlign w:val="subscript"/>
                    </w:rPr>
                    <w:t>表</w:t>
                  </w:r>
                  <w:r>
                    <w:rPr>
                      <w:rFonts w:ascii="仿宋" w:hAnsi="仿宋" w:cs="仿宋" w:eastAsia="仿宋"/>
                      <w:sz w:val="28"/>
                    </w:rPr>
                    <w:t>=S</w:t>
                  </w:r>
                  <w:r>
                    <w:rPr>
                      <w:rFonts w:ascii="仿宋" w:hAnsi="仿宋" w:cs="仿宋" w:eastAsia="仿宋"/>
                      <w:sz w:val="28"/>
                      <w:vertAlign w:val="subscript"/>
                    </w:rPr>
                    <w:t>侧</w:t>
                  </w:r>
                  <w:r>
                    <w:rPr>
                      <w:rFonts w:ascii="仿宋" w:hAnsi="仿宋" w:cs="仿宋" w:eastAsia="仿宋"/>
                      <w:sz w:val="28"/>
                    </w:rPr>
                    <w:t>+2S</w:t>
                  </w:r>
                  <w:r>
                    <w:rPr>
                      <w:rFonts w:ascii="仿宋" w:hAnsi="仿宋" w:cs="仿宋" w:eastAsia="仿宋"/>
                      <w:sz w:val="28"/>
                      <w:vertAlign w:val="subscript"/>
                    </w:rPr>
                    <w:t>底</w:t>
                  </w:r>
                  <w:r>
                    <w:rPr>
                      <w:rFonts w:ascii="仿宋" w:hAnsi="仿宋" w:cs="仿宋" w:eastAsia="仿宋"/>
                      <w:sz w:val="28"/>
                    </w:rPr>
                    <w:t>=C</w:t>
                  </w:r>
                  <w:r>
                    <w:rPr>
                      <w:rFonts w:ascii="仿宋" w:hAnsi="仿宋" w:cs="仿宋" w:eastAsia="仿宋"/>
                      <w:sz w:val="28"/>
                      <w:vertAlign w:val="subscript"/>
                    </w:rPr>
                    <w:t>底</w:t>
                  </w:r>
                  <w:r>
                    <w:rPr>
                      <w:rFonts w:ascii="仿宋" w:hAnsi="仿宋" w:cs="仿宋" w:eastAsia="仿宋"/>
                      <w:sz w:val="28"/>
                    </w:rPr>
                    <w:t>h+2S</w:t>
                  </w:r>
                  <w:r>
                    <w:rPr>
                      <w:rFonts w:ascii="仿宋" w:hAnsi="仿宋" w:cs="仿宋" w:eastAsia="仿宋"/>
                      <w:sz w:val="28"/>
                      <w:vertAlign w:val="subscript"/>
                    </w:rPr>
                    <w:t>底</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板书设计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8"/>
                  </w:pPr>
                  <w:r>
                    <w:drawing>
                      <wp:inline distT="0" distR="0" distB="0" distL="0">
                        <wp:extent cx="3162300" cy="3705225"/>
                        <wp:docPr id="13" name="Drawing 13" descr="img"/>
                        <a:graphic xmlns:a="http://schemas.openxmlformats.org/drawingml/2006/main">
                          <a:graphicData uri="http://schemas.openxmlformats.org/drawingml/2006/picture">
                            <pic:pic xmlns:pic="http://schemas.openxmlformats.org/drawingml/2006/picture">
                              <pic:nvPicPr>
                                <pic:cNvPr id="0" name="Picture 13" descr="img"/>
                                <pic:cNvPicPr>
                                  <a:picLocks noChangeAspect="true"/>
                                </pic:cNvPicPr>
                              </pic:nvPicPr>
                              <pic:blipFill>
                                <a:blip r:embed="rId19"/>
                                <a:stretch>
                                  <a:fillRect/>
                                </a:stretch>
                              </pic:blipFill>
                              <pic:spPr>
                                <a:xfrm>
                                  <a:off x="0" y="0"/>
                                  <a:ext cx="3162300" cy="3705225"/>
                                </a:xfrm>
                                <a:prstGeom prst="rect">
                                  <a:avLst/>
                                </a:prstGeom>
                              </pic:spPr>
                            </pic:pic>
                          </a:graphicData>
                        </a:graphic>
                      </wp:inline>
                    </w:drawing>
                  </w:r>
                  <w:r>
                    <w:drawing>
                      <wp:inline distT="0" distR="0" distB="0" distL="0">
                        <wp:extent cx="3086100" cy="3648075"/>
                        <wp:docPr id="14" name="Drawing 14" descr="img"/>
                        <a:graphic xmlns:a="http://schemas.openxmlformats.org/drawingml/2006/main">
                          <a:graphicData uri="http://schemas.openxmlformats.org/drawingml/2006/picture">
                            <pic:pic xmlns:pic="http://schemas.openxmlformats.org/drawingml/2006/picture">
                              <pic:nvPicPr>
                                <pic:cNvPr id="0" name="Picture 14" descr="img"/>
                                <pic:cNvPicPr>
                                  <a:picLocks noChangeAspect="true"/>
                                </pic:cNvPicPr>
                              </pic:nvPicPr>
                              <pic:blipFill>
                                <a:blip r:embed="rId20"/>
                                <a:stretch>
                                  <a:fillRect/>
                                </a:stretch>
                              </pic:blipFill>
                              <pic:spPr>
                                <a:xfrm>
                                  <a:off x="0" y="0"/>
                                  <a:ext cx="3086100" cy="3648075"/>
                                </a:xfrm>
                                <a:prstGeom prst="rect">
                                  <a:avLst/>
                                </a:prstGeom>
                              </pic:spPr>
                            </pic:pic>
                          </a:graphicData>
                        </a:graphic>
                      </wp:inline>
                    </w:drawing>
                  </w:r>
                </w:p>
              </w:tc>
            </w:tr>
          </w:tbl>
          <w:p w:rsidR="006977DC" w:rsidRPr="00CE3A7E" w:rsidP="006977DC" w14:paraId="5D57E6F5" w14:textId="77777777">
            <w:pPr>
              <w:widowControl/>
              <w:spacing w:line="300" w:lineRule="auto"/>
              <w:jc w:val="left"/>
              <w:rPr>
                <w:rFonts w:ascii="仿宋" w:eastAsia="仿宋" w:hAnsi="仿宋" w:cs="宋体"/>
                <w:kern w:val="0"/>
                <w:sz w:val="28"/>
                <w:szCs w:val="28"/>
              </w:rPr>
            </w:pPr>
          </w:p>
        </w:tc>
      </w:tr>
    </w:tbl>
    <w:p w:rsidR="00FA4856" w:rsidRPr="00CE3A7E" w:rsidP="0025404E" w14:paraId="736C6EE0" w14:textId="77777777">
      <w:pPr>
        <w:tabs>
          <w:tab w:val="right" w:pos="9867"/>
        </w:tabs>
        <w:spacing w:line="300" w:lineRule="auto"/>
        <w:outlineLvl w:val="0"/>
        <w:rPr>
          <w:sz w:val="28"/>
          <w:szCs w:val="28"/>
        </w:rPr>
      </w:pPr>
    </w:p>
    <w:sectPr w:rsidSect="0057080F">
      <w:headerReference w:type="default" r:id="rId5"/>
      <w:footerReference w:type="default" r:id="rId6"/>
      <w:pgSz w:w="11907" w:h="16839"/>
      <w:pgMar w:top="1200" w:right="1020" w:bottom="1200" w:left="10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DC" w:rsidP="00644B76" w14:paraId="6F7762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9C8">
      <w:rPr>
        <w:rStyle w:val="PageNumber"/>
        <w:noProof/>
      </w:rPr>
      <w:t>35</w:t>
    </w:r>
    <w:r>
      <w:rPr>
        <w:rStyle w:val="PageNumber"/>
      </w:rPr>
      <w:fldChar w:fldCharType="end"/>
    </w:r>
  </w:p>
  <w:p w:rsidR="00477BC9" w14:paraId="52063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BC9" w:rsidP="00F84FF5" w14:paraId="13B665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739CF"/>
    <w:multiLevelType w:val="multilevel"/>
    <w:tmpl w:val="FBD0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multiLevelType w:val="hybridMultilevel"/>
    <w:lvl w:ilvl="0">
      <w:start w:val="1"/>
      <w:numFmt w:val="bullet"/>
      <w:lvlText w:val=""/>
      <w:lvlJc w:val="left"/>
      <w:pPr>
        <w:ind w:left="0"/>
      </w:pPr>
      <w:rPr>
        <w:rFonts w:ascii="Wingdings" w:hAnsi="Wingdings" w:hint="default"/>
      </w:rPr>
    </w:lvl>
  </w:abstractNum>
  <w:abstractNum w:abstractNumId="2">
    <w:multiLevelType w:val="hybridMultilevel"/>
    <w:lvl w:ilvl="0">
      <w:start w:val="1"/>
      <w:numFmt w:val="decimal"/>
      <w:lvlText w:val="%1."/>
      <w:lvlJc w:val="left"/>
      <w:pPr>
        <w:ind w:left="0"/>
      </w:pPr>
    </w:lvl>
  </w:abstractNum>
  <w:num w:numId="1" w16cid:durableId="189006960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C"/>
    <w:rsid w:val="0006443E"/>
    <w:rsid w:val="0009087E"/>
    <w:rsid w:val="00120A9F"/>
    <w:rsid w:val="00142256"/>
    <w:rsid w:val="001468B7"/>
    <w:rsid w:val="001C6306"/>
    <w:rsid w:val="0023201A"/>
    <w:rsid w:val="0025404E"/>
    <w:rsid w:val="002B4C1D"/>
    <w:rsid w:val="002C4CE7"/>
    <w:rsid w:val="00325021"/>
    <w:rsid w:val="003329C8"/>
    <w:rsid w:val="003A4255"/>
    <w:rsid w:val="0042274B"/>
    <w:rsid w:val="00477BC9"/>
    <w:rsid w:val="004C580C"/>
    <w:rsid w:val="004E1594"/>
    <w:rsid w:val="004E4EB7"/>
    <w:rsid w:val="0052136F"/>
    <w:rsid w:val="0055563C"/>
    <w:rsid w:val="0057080F"/>
    <w:rsid w:val="005A7A56"/>
    <w:rsid w:val="005C046A"/>
    <w:rsid w:val="005C6EDD"/>
    <w:rsid w:val="005D53FD"/>
    <w:rsid w:val="005D68E7"/>
    <w:rsid w:val="005E3D72"/>
    <w:rsid w:val="005E403A"/>
    <w:rsid w:val="00644B76"/>
    <w:rsid w:val="00696D79"/>
    <w:rsid w:val="006977DC"/>
    <w:rsid w:val="006C6F8A"/>
    <w:rsid w:val="00797B7E"/>
    <w:rsid w:val="0082523E"/>
    <w:rsid w:val="00864834"/>
    <w:rsid w:val="008670FC"/>
    <w:rsid w:val="008C1169"/>
    <w:rsid w:val="0096289E"/>
    <w:rsid w:val="009771B7"/>
    <w:rsid w:val="00A073DF"/>
    <w:rsid w:val="00A1033B"/>
    <w:rsid w:val="00B117F3"/>
    <w:rsid w:val="00B1592C"/>
    <w:rsid w:val="00B55228"/>
    <w:rsid w:val="00B85CBF"/>
    <w:rsid w:val="00BA0A00"/>
    <w:rsid w:val="00C72665"/>
    <w:rsid w:val="00CB396D"/>
    <w:rsid w:val="00CE3A7E"/>
    <w:rsid w:val="00DD0D80"/>
    <w:rsid w:val="00E34219"/>
    <w:rsid w:val="00E3449E"/>
    <w:rsid w:val="00E57044"/>
    <w:rsid w:val="00EA612F"/>
    <w:rsid w:val="00F84FF5"/>
    <w:rsid w:val="00FA4856"/>
    <w:rsid w:val="00F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A5CD4F"/>
  <w15:chartTrackingRefBased/>
  <w15:docId w15:val="{E4A98E80-A97D-4F9F-90AB-58C0F57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977D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77DC"/>
    <w:rPr>
      <w:sz w:val="18"/>
      <w:szCs w:val="18"/>
    </w:rPr>
  </w:style>
  <w:style w:type="paragraph" w:styleId="Footer">
    <w:name w:val="footer"/>
    <w:basedOn w:val="Normal"/>
    <w:link w:val="a0"/>
    <w:uiPriority w:val="99"/>
    <w:unhideWhenUsed/>
    <w:rsid w:val="006977D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77DC"/>
    <w:rPr>
      <w:sz w:val="18"/>
      <w:szCs w:val="18"/>
    </w:rPr>
  </w:style>
  <w:style w:type="character" w:styleId="PageNumber">
    <w:name w:val="page number"/>
    <w:basedOn w:val="DefaultParagraphFont"/>
    <w:uiPriority w:val="99"/>
    <w:semiHidden/>
    <w:unhideWhenUsed/>
    <w:rsid w:val="006977DC"/>
  </w:style>
  <w:style w:type="paragraph" w:styleId="TOC1">
    <w:name w:val="toc 1"/>
    <w:basedOn w:val="Normal"/>
    <w:next w:val="Normal"/>
    <w:autoRedefine/>
    <w:uiPriority w:val="39"/>
    <w:unhideWhenUsed/>
    <w:rsid w:val="006977DC"/>
  </w:style>
  <w:style w:type="paragraph" w:styleId="TOC2">
    <w:name w:val="toc 2"/>
    <w:basedOn w:val="Normal"/>
    <w:next w:val="Normal"/>
    <w:autoRedefine/>
    <w:uiPriority w:val="39"/>
    <w:unhideWhenUsed/>
    <w:rsid w:val="006977DC"/>
    <w:pPr>
      <w:ind w:left="420" w:leftChars="200"/>
    </w:pPr>
  </w:style>
  <w:style w:type="paragraph" w:styleId="TOC3">
    <w:name w:val="toc 3"/>
    <w:basedOn w:val="Normal"/>
    <w:next w:val="Normal"/>
    <w:autoRedefine/>
    <w:uiPriority w:val="39"/>
    <w:unhideWhenUsed/>
    <w:rsid w:val="006977DC"/>
    <w:pPr>
      <w:ind w:left="840" w:leftChars="400"/>
    </w:pPr>
  </w:style>
  <w:style w:type="character" w:styleId="Hyperlink">
    <w:name w:val="Hyperlink"/>
    <w:basedOn w:val="DefaultParagraphFont"/>
    <w:uiPriority w:val="99"/>
    <w:unhideWhenUsed/>
    <w:rsid w:val="006977DC"/>
    <w:rPr>
      <w:color w:val="0563C1" w:themeColor="hyperlink"/>
      <w:u w:val="single"/>
    </w:rPr>
  </w:style>
  <w:style w:type="character" w:styleId="CommentReference">
    <w:name w:val="annotation reference"/>
    <w:basedOn w:val="DefaultParagraphFont"/>
    <w:uiPriority w:val="99"/>
    <w:semiHidden/>
    <w:unhideWhenUsed/>
    <w:rsid w:val="002C4CE7"/>
    <w:rPr>
      <w:sz w:val="21"/>
      <w:szCs w:val="21"/>
    </w:rPr>
  </w:style>
  <w:style w:type="paragraph" w:styleId="CommentText">
    <w:name w:val="annotation text"/>
    <w:basedOn w:val="Normal"/>
    <w:link w:val="a1"/>
    <w:uiPriority w:val="99"/>
    <w:unhideWhenUsed/>
    <w:rsid w:val="002C4CE7"/>
    <w:pPr>
      <w:jc w:val="left"/>
    </w:pPr>
  </w:style>
  <w:style w:type="character" w:customStyle="1" w:styleId="a1">
    <w:name w:val="批注文字 字符"/>
    <w:basedOn w:val="DefaultParagraphFont"/>
    <w:link w:val="CommentText"/>
    <w:uiPriority w:val="99"/>
    <w:rsid w:val="002C4CE7"/>
  </w:style>
  <w:style w:type="paragraph" w:styleId="CommentSubject">
    <w:name w:val="annotation subject"/>
    <w:basedOn w:val="CommentText"/>
    <w:next w:val="CommentText"/>
    <w:link w:val="a2"/>
    <w:uiPriority w:val="99"/>
    <w:semiHidden/>
    <w:unhideWhenUsed/>
    <w:rsid w:val="002C4CE7"/>
    <w:rPr>
      <w:b/>
      <w:bCs/>
    </w:rPr>
  </w:style>
  <w:style w:type="character" w:customStyle="1" w:styleId="a2">
    <w:name w:val="批注主题 字符"/>
    <w:basedOn w:val="a1"/>
    <w:link w:val="CommentSubject"/>
    <w:uiPriority w:val="99"/>
    <w:semiHidden/>
    <w:rsid w:val="002C4CE7"/>
    <w:rPr>
      <w:b/>
      <w:bCs/>
    </w:rPr>
  </w:style>
  <w:style w:customStyle="true" w:type="paragraph" w:styleId="null18">
    <w:name w:val="null18"/>
    <w:hidden/>
    <w:rPr>
      <w:rFonts w:ascii="仿宋" w:eastAsia="仿宋" w:hAnsi="仿宋" w:cs="宋体"/>
      <w:kern w:val="0"/>
      <w:sz w:val="28"/>
      <w:szCs w:val="28"/>
    </w:rPr>
  </w:style>
  <w:style w:customStyle="true" w:type="paragraph" w:styleId="null19">
    <w:name w:val="null19"/>
    <w:hidden/>
    <w:rPr>
      <w:rFonts w:ascii="仿宋" w:eastAsia="仿宋" w:hAnsi="仿宋" w:cs="宋体"/>
      <w:kern w:val="0"/>
      <w:sz w:val="28"/>
      <w:szCs w:val="28"/>
    </w:rPr>
  </w:style>
  <w:style w:customStyle="true" w:type="paragraph" w:styleId="null20">
    <w:name w:val="null20"/>
    <w:hidden/>
    <w:rPr>
      <w:rFonts w:ascii="仿宋" w:eastAsia="仿宋" w:hAnsi="仿宋" w:cs="宋体"/>
      <w:kern w:val="0"/>
      <w:sz w:val="28"/>
      <w:szCs w:val="28"/>
    </w:rPr>
  </w:style>
  <w:style w:customStyle="true" w:type="paragraph" w:styleId="null21">
    <w:name w:val="null21"/>
    <w:hidden/>
    <w:rPr>
      <w:rFonts w:ascii="仿宋" w:eastAsia="仿宋" w:hAnsi="仿宋" w:cs="宋体"/>
      <w:kern w:val="0"/>
      <w:sz w:val="28"/>
      <w:szCs w:val="28"/>
    </w:rPr>
  </w:style>
  <w:style w:customStyle="true" w:type="paragraph" w:styleId="null22">
    <w:name w:val="null22"/>
    <w:hidden/>
    <w:rPr>
      <w:rFonts w:ascii="仿宋" w:eastAsia="仿宋" w:hAnsi="仿宋" w:cs="宋体"/>
      <w:kern w:val="0"/>
      <w:sz w:val="28"/>
      <w:szCs w:val="28"/>
    </w:rPr>
  </w:style>
  <w:style w:customStyle="true" w:type="paragraph" w:styleId="null23">
    <w:name w:val="null23"/>
    <w:hidden/>
    <w:rPr>
      <w:rFonts w:ascii="仿宋" w:eastAsia="仿宋" w:hAnsi="仿宋" w:cs="宋体"/>
      <w:kern w:val="0"/>
      <w:sz w:val="28"/>
      <w:szCs w:val="28"/>
    </w:rPr>
  </w:style>
  <w:style w:customStyle="true" w:type="paragraph" w:styleId="null24">
    <w:name w:val="null24"/>
    <w:hidden/>
    <w:rPr>
      <w:rFonts w:ascii="仿宋" w:eastAsia="仿宋" w:hAnsi="仿宋" w:cs="宋体"/>
      <w:kern w:val="0"/>
      <w:sz w:val="28"/>
      <w:szCs w:val="28"/>
    </w:rPr>
  </w:style>
  <w:style w:customStyle="true" w:type="paragraph" w:styleId="null25">
    <w:name w:val="null25"/>
    <w:hidden/>
    <w:rPr>
      <w:rFonts w:ascii="仿宋" w:eastAsia="仿宋" w:hAnsi="仿宋" w:cs="宋体"/>
      <w:kern w:val="0"/>
      <w:sz w:val="28"/>
      <w:szCs w:val="28"/>
    </w:rPr>
  </w:style>
  <w:style w:customStyle="true" w:type="paragraph" w:styleId="null26">
    <w:name w:val="null26"/>
    <w:hidden/>
    <w:rPr>
      <w:rFonts w:ascii="仿宋" w:eastAsia="仿宋" w:hAnsi="仿宋" w:cs="宋体"/>
      <w:kern w:val="0"/>
      <w:sz w:val="28"/>
      <w:szCs w:val="28"/>
    </w:rPr>
  </w:style>
  <w:style w:customStyle="true" w:type="paragraph" w:styleId="null27">
    <w:name w:val="null27"/>
    <w:hidden/>
    <w:rPr>
      <w:rFonts w:ascii="仿宋" w:eastAsia="仿宋" w:hAnsi="仿宋" w:cs="宋体"/>
      <w:kern w:val="0"/>
      <w:sz w:val="28"/>
      <w:szCs w:val="28"/>
    </w:rPr>
  </w:style>
  <w:style w:customStyle="true" w:type="paragraph" w:styleId="null28">
    <w:name w:val="null28"/>
    <w:hidden/>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jpeg" Type="http://schemas.openxmlformats.org/officeDocument/2006/relationships/image"/><Relationship Id="rId2" Target="webSettings.xml" Type="http://schemas.openxmlformats.org/officeDocument/2006/relationships/webSettings"/><Relationship Id="rId20" Target="media/image11.jpeg" Type="http://schemas.openxmlformats.org/officeDocument/2006/relationships/image"/><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3D72-D5C0-4DC2-BC89-6EDD285D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165</Characters>
  <Application>Microsoft Office Word</Application>
  <DocSecurity>0</DocSecurity>
  <Lines>1</Lines>
  <Paragraphs>1</Paragraphs>
  <ScaleCrop>false</ScaleCrop>
  <Company>Aliyun</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2024-01-30T04:31:00Z</dcterms:created>
  <dc:creator>Administrator</dc:creator>
  <cp:lastModifiedBy>Draco Null</cp:lastModifiedBy>
  <dcterms:modified xsi:type="dcterms:W3CDTF">2024-01-31T00:36:00Z</dcterms:modified>
  <cp:revision>5</cp:revision>
</cp:coreProperties>
</file>