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教案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西江月·夜行黄沙道中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小学 六年级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 人教部编版 六年级 上学期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西江月·夜行黄沙道中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教材解读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本单元是六年级语文上册的第一单元，是对五年级下册知识和能力的顺延，处在五六年级的过渡阶段。按照统编教材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双线组元”的编排特点，第一单元的人文主题是“触摸自然”，编排了四篇课文，整个单元以三个任务八个活动开展学习，每个任务之中再设计若干个活动，让学生在丰富多彩的学习活动中能做到“阅读时能从所读内容想开去”。因此，在整个单元的教学中要不断体现和强化这个阅读要素。</w:t>
                  </w:r>
                </w:p>
                <w:p>
                  <w:pPr>
                    <w:pStyle w:val="null18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《西江月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·夜行黄沙道中》是辛弃疾被贬江西时所作。它将视、听相结合，既写景又抒情，为读者呈现了农村夏夜清新自然、丰收在望的景象，也表达了诗人此刻怡然自得的心情，表达了词人热爱大自然，关心人民生活，企盼丰年的思想感情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学情分析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  进入六年级，大部分学生已经具备较好的学习自主性，已经掌握了学习诗词的一些方法。如：学会正确朗读，把握朗读节奏；知道利用注释和查字典的方法在弄懂重点词语的基础上理解诗句；懂得在反复朗读的基础上理解诗意等。所以在面对六年级学生时，《西江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·夜行黄沙道中》的教学不应该只停留在文字层面的理解，更应该多从词人本身以及其语言背后的意蕴进行挖掘，从不同维度引领学生体会夏夜黄沙道之美，感悟宋词之美。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教学工具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班级优化大师、知识胶囊、计时器、微课视频、希沃投屏、蒙层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教学目标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1．正确、流利、有感情地朗读全词，并背诵全词。</w:t>
                  </w:r>
                </w:p>
                <w:p>
                  <w:pPr>
                    <w:pStyle w:val="null21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2．通过诵读，体验古诗词的节奏美及内蕴美。</w:t>
                  </w:r>
                </w:p>
                <w:p>
                  <w:pPr>
                    <w:pStyle w:val="null21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3．学习抓住重点词句，想画面，品诗情，悟诗境的方法。</w:t>
                  </w:r>
                </w:p>
                <w:p>
                  <w:pPr>
                    <w:pStyle w:val="null21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4．以这首词为媒介，走近辛弃疾，体验词人丰富的内心世界。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教学重难点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重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点：</w:t>
                  </w:r>
                </w:p>
                <w:p>
                  <w:pPr>
                    <w:pStyle w:val="null2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1．学习抓住重点词句，想画面，品诗情，悟诗境的方法。</w:t>
                  </w:r>
                </w:p>
                <w:p>
                  <w:pPr>
                    <w:pStyle w:val="null2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2．通过诵读，体验古诗词的节奏美及内蕴美。</w:t>
                  </w:r>
                </w:p>
                <w:p>
                  <w:pPr>
                    <w:pStyle w:val="null2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难点：</w:t>
                  </w:r>
                </w:p>
                <w:p>
                  <w:pPr>
                    <w:pStyle w:val="null2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以这首词为媒介，走近辛弃疾，体验词人丰富的内心世界。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教学方法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3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1.教学方法：教学评一体化、情境教学法、讲授法</w:t>
                  </w:r>
                </w:p>
                <w:p>
                  <w:pPr>
                    <w:pStyle w:val="null23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2.学法指导：朗读法、联想法</w:t>
                  </w:r>
                </w:p>
              </w:tc>
            </w:tr>
            <w:tr w14:paraId="033C6714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104D5ED9" w14:textId="5C4A9EAB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教学过程</w:t>
                  </w:r>
                </w:p>
              </w:tc>
            </w:tr>
            <w:tr w14:paraId="010689E0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3F4B1F3E" w14:textId="79763B90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环节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3FFA511D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过程设计</w:t>
                  </w:r>
                </w:p>
              </w:tc>
            </w:tr>
            <w:tr w14:paraId="75C670A5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00"/>
                  </w:tblGrid>
                  <w:tr w14:paraId="2F60D8A2" w14:textId="77777777">
                    <w:tblPrEx>
                      <w:tblW w:w="2100" w:type="dxa"/>
                      <w:jc w:val="cente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6977DC" w:rsidRPr="00CE3A7E" w:rsidP="006977DC" w14:paraId="72E3FCA9" w14:textId="42A7B936">
                        <w:pPr>
                          <w:widowControl/>
                          <w:spacing w:line="300" w:lineRule="auto"/>
                          <w:jc w:val="center"/>
                          <w:rPr>
                            <w:rFonts w:ascii="仿宋" w:eastAsia="仿宋" w:hAnsi="仿宋" w:cs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一、巧用技术，检测预习</w:t>
                        </w:r>
                      </w:p>
                    </w:tc>
                  </w:tr>
                </w:tbl>
                <w:p w:rsidR="006977DC" w:rsidRPr="00CE3A7E" w:rsidP="006977DC" w14:paraId="316379D2" w14:textId="460A4D1A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（</w:t>
                  </w:r>
                  <w:r w:rsidR="0086483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3</w:t>
                  </w: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分钟）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4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4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孟子有云：颂其诗，读其书，不知其人，可乎？是以论其世也，是尚友也。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意思是要读懂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古人的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诗词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首先要和古人交朋友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。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这节课，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我们要穿越时空隧道，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去往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宋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代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交一位词人朋友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——辛弃疾。</w:t>
                  </w:r>
                </w:p>
                <w:p>
                  <w:pPr>
                    <w:pStyle w:val="null24"/>
                    <w:numPr>
                      <w:ilvl w:val="0"/>
                      <w:numId w:val="2"/>
                    </w:numPr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认识词人。</w:t>
                  </w:r>
                </w:p>
                <w:p>
                  <w:pPr>
                    <w:pStyle w:val="null24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课堂活动：课前大家做了预习，请一位同学上来把这位朋友的相关信息找出来。</w:t>
                  </w:r>
                </w:p>
                <w:p>
                  <w:pPr>
                    <w:pStyle w:val="null24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预设：你的预习做得十分充分，一下就找出了关键词。</w:t>
                  </w:r>
                </w:p>
                <w:p>
                  <w:pPr>
                    <w:pStyle w:val="null24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2.解词题。</w:t>
                  </w:r>
                </w:p>
                <w:p>
                  <w:pPr>
                    <w:pStyle w:val="null24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师：了解了辛弃疾，接下来我们一起学习辛弃疾的《西江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·月夜行黄沙道中》，板书课题，齐读课题。从题目中，你读出了哪些信息？</w:t>
                  </w:r>
                </w:p>
                <w:p>
                  <w:pPr>
                    <w:pStyle w:val="null24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①西江月是词牌名</w:t>
                  </w:r>
                </w:p>
                <w:p>
                  <w:pPr>
                    <w:pStyle w:val="null24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  ②词题的意思就是词人夜晚在黄沙岭的一条小路上散步。</w:t>
                  </w:r>
                </w:p>
              </w:tc>
            </w:tr>
            <w:tr w14:paraId="75C670A5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00"/>
                  </w:tblGrid>
                  <w:tr w14:paraId="2F60D8A2" w14:textId="77777777">
                    <w:tblPrEx>
                      <w:tblW w:w="2100" w:type="dxa"/>
                      <w:jc w:val="cente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6977DC" w:rsidRPr="00CE3A7E" w:rsidP="006977DC" w14:textId="42A7B936">
                        <w:pPr>
                          <w:widowControl/>
                          <w:spacing w:line="300" w:lineRule="auto"/>
                          <w:jc w:val="center"/>
                          <w:rPr>
                            <w:rFonts w:ascii="仿宋" w:eastAsia="仿宋" w:hAnsi="仿宋" w:cs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二、初读节奏，读出韵味</w:t>
                        </w:r>
                      </w:p>
                    </w:tc>
                  </w:tr>
                </w:tbl>
                <w:p w:rsidR="006977DC" w:rsidRPr="00CE3A7E" w:rsidP="006977DC" w14:textId="460A4D1A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（</w:t>
                  </w:r>
                  <w:r w:rsidR="0086483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5</w:t>
                  </w: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分钟）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5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师：要当词人的朋友，首先得把他的词读好了。通过课前预习检测，我发现有约百分之五的孩子对这个字的读音很陌生。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1.读准字音。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师：它在词中应该怎么读呢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?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读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“(xian）”，说说理由，根据注释学习，据义定音是非常好的学习方法。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师：还记得《敕勒川》这首诗歌吗？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出示诗句：天苍苍，野茫茫，风吹草低见牛羊。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这里的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“见”也是“出现”的意思。联系已学知识，也可以帮助我们学好诗词。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指名读。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2.读清节奏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师：字音读准了，词的节奏也不能乱。前测学习的反馈中，出现了两种读法，这两种节奏，你更赞同哪一种呢？说说你的理由。</w:t>
                  </w:r>
                </w:p>
                <w:p>
                  <w:pPr>
                    <w:pStyle w:val="null25"/>
                    <w:ind w:firstLine="2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（稻花香里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/说丰年。七八个星/天外，两三点雨/山前。）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师：是呀，我们要根据诗的意思来断句。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师：循着这个节奏，我们一起来读一读，老师读前句，你们接读。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师：读得抑扬顿挫的，换一种形式，你们还能读好吗？一起来读一读吧。简直读到辛弃疾的心里去了。</w:t>
                  </w:r>
                </w:p>
              </w:tc>
            </w:tr>
            <w:tr w14:paraId="75C670A5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00"/>
                  </w:tblGrid>
                  <w:tr w14:paraId="2F60D8A2" w14:textId="77777777">
                    <w:tblPrEx>
                      <w:tblW w:w="2100" w:type="dxa"/>
                      <w:jc w:val="cente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6977DC" w:rsidRPr="00CE3A7E" w:rsidP="006977DC" w14:textId="42A7B936">
                        <w:pPr>
                          <w:widowControl/>
                          <w:spacing w:line="300" w:lineRule="auto"/>
                          <w:jc w:val="center"/>
                          <w:rPr>
                            <w:rFonts w:ascii="仿宋" w:eastAsia="仿宋" w:hAnsi="仿宋" w:cs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三、品读词句，读中知意</w:t>
                        </w:r>
                      </w:p>
                    </w:tc>
                  </w:tr>
                </w:tbl>
                <w:p w:rsidR="006977DC" w:rsidRPr="00CE3A7E" w:rsidP="006977DC" w14:textId="460A4D1A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（</w:t>
                  </w:r>
                  <w:r w:rsidR="0086483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7</w:t>
                  </w: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分钟）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6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  1.师：那让我们走近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辛弃疾，做他的同行者，在这样的夜晚，诗人看见了什么？听见了什么？又闻到什么？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点名反馈，蒙层擦去对应景物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）</w:t>
                  </w:r>
                </w:p>
                <w:p>
                  <w:pPr>
                    <w:pStyle w:val="null26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2.师：这么多的美景，构成了怎样的画卷呢？作为辛弃疾的夜行同伴，用自己的话说说那晚的美景吧，老师抽取四位同学一人一句，依此说下去。（班优抽取4名同学）</w:t>
                  </w:r>
                </w:p>
                <w:p>
                  <w:pPr>
                    <w:pStyle w:val="null26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学生四人汇报。</w:t>
                  </w:r>
                </w:p>
                <w:p>
                  <w:pPr>
                    <w:pStyle w:val="null26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师：不愧是辛弃疾的朋友，这就是辛弃疾的所见所闻。</w:t>
                  </w:r>
                </w:p>
                <w:p>
                  <w:pPr>
                    <w:pStyle w:val="null26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3.师：让我们想象着画面，配上音乐，再把这首词读一读。</w:t>
                  </w:r>
                </w:p>
                <w:p>
                  <w:pPr>
                    <w:pStyle w:val="null26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4.师：古人写词原是为配唱而作，光读不能表达心中的感动。咱们可以用唱的方式来学习这首词。</w:t>
                  </w:r>
                </w:p>
              </w:tc>
            </w:tr>
            <w:tr w14:paraId="75C670A5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00"/>
                  </w:tblGrid>
                  <w:tr w14:paraId="2F60D8A2" w14:textId="77777777">
                    <w:tblPrEx>
                      <w:tblW w:w="2100" w:type="dxa"/>
                      <w:jc w:val="cente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6977DC" w:rsidRPr="00CE3A7E" w:rsidP="006977DC" w14:textId="42A7B936">
                        <w:pPr>
                          <w:widowControl/>
                          <w:spacing w:line="300" w:lineRule="auto"/>
                          <w:jc w:val="center"/>
                          <w:rPr>
                            <w:rFonts w:ascii="仿宋" w:eastAsia="仿宋" w:hAnsi="仿宋" w:cs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四、再读赏析，读中悟情</w:t>
                        </w:r>
                      </w:p>
                    </w:tc>
                  </w:tr>
                </w:tbl>
                <w:p w:rsidR="006977DC" w:rsidRPr="00CE3A7E" w:rsidP="006977DC" w14:textId="460A4D1A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（</w:t>
                  </w:r>
                  <w:r w:rsidR="0086483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15</w:t>
                  </w: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分钟）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7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同学们，读了辛弃疾这首词《西江月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·夜行黄沙道中》前测学习数据反馈中，很多同学都体会到了词人的喜悦与热爱的情感。你们是从哪感受到的呢?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词人王国维曾经说过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:"一切景语些情语。"意思就是作者笔下的景中蕴含着作者的情，那西江月的情在哪呢?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[出示要求]小组合作读一读，圈一圈，写一写。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2.汇报。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①稻花香里说丰年，听取蛙声一片。</w:t>
                  </w:r>
                </w:p>
                <w:p>
                  <w:pPr>
                    <w:pStyle w:val="null27"/>
                    <w:ind w:left="645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读着这样的词句，你仿佛又闻到了什么，听见了什么？清风徐徐，稻</w:t>
                  </w:r>
                </w:p>
                <w:p>
                  <w:pPr>
                    <w:pStyle w:val="null27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香阵阵，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听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青蛙的鸣叫声此起彼伏，响成一片，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青蛙叫声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）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它们仿佛正在说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说些什么呢？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这样的景象，行走走在黄沙岭中的辛弃疾，又会是怎一种心情呢？自然是心情愉快，充满喜悦了！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板书：丰收之喜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）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师：带着这份丰收的喜悦，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读读这一句。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要丰收了，再来一次。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要丰收啦，你再读读。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同学们，辛弃疾并不是真正的农夫啊，可是为什么这小小的稻花香，这小小的蛙声，就没让他这么高兴啊？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出示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资料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：他还给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自己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宅院起了个名字，叫稼轩。是不是有点儿耳熟？因为辛弃疾也把自己称为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——稼轩。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你知道原因吗？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对于时时念着百姓的辛弃疾来说，那一晚就算有千百种的香味，也不如这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——稻花香。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就算有千百种动听的声音，也不如这说丰年的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——蛙声。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于是就有了这一句，一起来读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——稻花香里说丰年，听取蛙声一片。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词人心系百姓的家国情怀，正借阵阵稻花香、片片蛙声浸润我们的心田。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②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明月别枝惊鹊，清风半夜鸣蝉。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景色特别美！（板书：景美之喜）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师：这样的乡村夜晚给了你怎样的感受呢？（宁静）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师：在诗句中，似乎每句都在写寂静，但每句又都有声音，这些声音反衬的夏夜愈加宁静了。这样的写法叫做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“以动衬静”。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你们还知道类似的诗句吗？（月出惊山鸟，时鸣春涧中。）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师：请你把这份宁静与美好送进句子中读一读。读出夏夜的宁静。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师：月很美，风很柔，偶尔还有蝉鸣和虫叫。我们一起来读一读。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同学们，原来人的情感也是可以通过选取的景物来表达的。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③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旧时茅店社林边，路转溪桥忽见。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碰到了熟悉的茅店了，什么情感，你觉得？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为什么过去非常熟悉的茅店，现在出现了，会使词人觉得忽然呢？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-﹣说明道路非常弯曲。因为树木茂盛，道路弯曲，茅店不太容易找到，忽然找到了，辛弃疾就很惊喜！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-﹣辛弃疾找不着旧时的茅店，天又下雨了，十分着急中“忽见”茅店，终于可以躲雨了，心里很高兴。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-﹣辛弃疾刚出来时明月当空，可下雨前，天一定很黑，辛弃疾看不见，所以找不着。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夏天的雨来得很突然，可能辛弃疾还完全沉浸在丰收的喜悦之中，一时没有准备，正在着急的时候茅店出现了，所以用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“忽见”这两个字。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师：峰回路转，柳暗花明，这是忽见之喜呀。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板书：忽见之喜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）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师：此时，我们学过的哪一句诗最能表达此人的心情？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预设：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山重水复疑无路无路，柳暗花明又一村。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师：把这份这份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豁然开朗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的喜悦送进句子中读一读。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3.其实这种忽见之喜辛弃疾在他的《青玉案·元夕》中也写过，众里寻他千百度，蓦然回首，那人却在灯火阑珊处。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师：这是辛弃疾最为出名的句子之一，辛弃疾一直在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“众里寻他”，就像在这首词中寻﹣-（茅店）。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4.但一切景语皆情语。诗词不只表达情感，还表达诗人的﹣-（志向）。所以"众里寻他千百度"寻的是怎样的情怀、怎样的志向？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5.老师带来辛弃疾的一段小小的介绍，我们一起来看一看。（视频播放）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6.这首词读到这里，了解了他的为人，辛弃疾"众里寻他千百度"到底寻的是什么呢？请谈谈你的体验和感受。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补白填空：众里寻他千百度，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"我"寻的其实是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（失土。因为当时朝政腐败，很多土地都被敌人抢去了。是朝廷不再懦弱，收复失地，重用人才）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7.我们走进辛弃疾的这些诗词，发现辛弃疾从来不是简简单单地要寻找那一座茅店，也不是要寻找自己的快乐生活。他寻找的都和什么有关系？（国家）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师：这首词的背后也好，辛弃疾整个人生也好，他真正期待的其实是（国家的和平、朝廷的清廉。百姓的安居乐业。）</w:t>
                  </w:r>
                </w:p>
                <w:p>
                  <w:pPr>
                    <w:pStyle w:val="null27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师：用一个词来形容这样的盛世。（板书：国泰民安）国泰民安的太平盛世正是辛弃疾耿耿于怀，念念不忘的精神家园。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8.出示书法作品齐诵。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师：这份浓浓的家国情怀深深感染了历代书法家，他们用飞舞的笔墨将之融为一幅幅书法艺术的珍品。现在，让我们一起在飞舞的墨宝中，再次诵读这首词。</w:t>
                  </w:r>
                </w:p>
                <w:p>
                  <w:pPr>
                    <w:pStyle w:val="null27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9.看图背词。这一物一景，都蕴藏着词人的满满的家国情怀呀，让我们随着这一幅幅美丽画卷，背诵这首《西江月·夜行黄沙道中》吧。</w:t>
                  </w:r>
                </w:p>
              </w:tc>
            </w:tr>
            <w:tr w14:paraId="75C670A5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00"/>
                  </w:tblGrid>
                  <w:tr w14:paraId="2F60D8A2" w14:textId="77777777">
                    <w:tblPrEx>
                      <w:tblW w:w="2100" w:type="dxa"/>
                      <w:jc w:val="cente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6977DC" w:rsidRPr="00CE3A7E" w:rsidP="006977DC" w14:textId="42A7B936">
                        <w:pPr>
                          <w:widowControl/>
                          <w:spacing w:line="300" w:lineRule="auto"/>
                          <w:jc w:val="center"/>
                          <w:rPr>
                            <w:rFonts w:ascii="仿宋" w:eastAsia="仿宋" w:hAnsi="仿宋" w:cs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五、拓展创作，寻觅知音</w:t>
                        </w:r>
                      </w:p>
                    </w:tc>
                  </w:tr>
                </w:tbl>
                <w:p w:rsidR="006977DC" w:rsidRPr="00CE3A7E" w:rsidP="006977DC" w14:textId="460A4D1A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（</w:t>
                  </w:r>
                  <w:r w:rsidR="0086483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8</w:t>
                  </w: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分钟）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8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1.师：从你们的读中，我感受到词人笔下田园风光在夜晚独特的美。现在，让我们将夜行在黄沙岭中所看到的画面，感受的那份情写成一篇现代小短文，试试看，谁能写进词人心里，成为词人的知音。</w:t>
                  </w:r>
                </w:p>
                <w:p>
                  <w:pPr>
                    <w:pStyle w:val="null28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2.写作要求：从多感官角度展开丰富的想象，用上优美的词句，出示评价标准。</w:t>
                  </w:r>
                </w:p>
                <w:p>
                  <w:pPr>
                    <w:pStyle w:val="null28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3.学生作品展示，评价。</w:t>
                  </w:r>
                </w:p>
                <w:p>
                  <w:pPr>
                    <w:pStyle w:val="null28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4.总结：像这样在读书时从所读内容想开去，就能与词人产生情感上的共鸣。今后我们在学习其他古诗词或课文时，也可以运用这种方法，加深理解。</w:t>
                  </w:r>
                </w:p>
              </w:tc>
            </w:tr>
            <w:tr w14:paraId="75C670A5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00"/>
                  </w:tblGrid>
                  <w:tr w14:paraId="2F60D8A2" w14:textId="77777777">
                    <w:tblPrEx>
                      <w:tblW w:w="2100" w:type="dxa"/>
                      <w:jc w:val="cente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6977DC" w:rsidRPr="00CE3A7E" w:rsidP="006977DC" w14:textId="42A7B936">
                        <w:pPr>
                          <w:widowControl/>
                          <w:spacing w:line="300" w:lineRule="auto"/>
                          <w:jc w:val="center"/>
                          <w:rPr>
                            <w:rFonts w:ascii="仿宋" w:eastAsia="仿宋" w:hAnsi="仿宋" w:cs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六、分层作业，提质增效</w:t>
                        </w:r>
                      </w:p>
                    </w:tc>
                  </w:tr>
                </w:tbl>
                <w:p w:rsidR="006977DC" w:rsidRPr="00CE3A7E" w:rsidP="006977DC" w14:textId="460A4D1A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（</w:t>
                  </w:r>
                  <w:r w:rsidR="0086483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2</w:t>
                  </w: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分钟）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9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师：一首美妙的词我们已经学完了，你想为自己设计一份怎样的作业呢?(自选)</w:t>
                  </w:r>
                </w:p>
                <w:p>
                  <w:pPr>
                    <w:pStyle w:val="null29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1.积累其他田园诗或辛弃疾的其它词。</w:t>
                  </w:r>
                </w:p>
                <w:p>
                  <w:pPr>
                    <w:pStyle w:val="null29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2.把这美景画下来，做成诗配画。</w:t>
                  </w:r>
                </w:p>
                <w:p>
                  <w:pPr>
                    <w:pStyle w:val="null29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3.把词改写成美文。</w:t>
                  </w:r>
                </w:p>
                <w:p>
                  <w:pPr>
                    <w:pStyle w:val="null29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板书设计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30"/>
                    <w:jc w:val="center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30"/>
                    <w:jc w:val="center"/>
                  </w:pPr>
                  <w:r>
                    <w:drawing>
                      <wp:inline distT="0" distR="0" distB="0" distL="0">
                        <wp:extent cx="6118225" cy="2890639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8225" cy="2890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0"/>
      </w:pPr>
    </w:lvl>
  </w:abstractNum>
  <w:num w:numId="1" w16cid:durableId="189006960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2">
    <w:name w:val="null22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3">
    <w:name w:val="null23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4">
    <w:name w:val="null24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5">
    <w:name w:val="null25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6">
    <w:name w:val="null26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7">
    <w:name w:val="null27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8">
    <w:name w:val="null2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9">
    <w:name w:val="null2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30">
    <w:name w:val="null30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png" Type="http://schemas.openxmlformats.org/officeDocument/2006/relationships/image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