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宋体" w:cs="Times New Roman"/>
          <w:lang w:val="en-US" w:eastAsia="zh-CN"/>
        </w:rPr>
      </w:pPr>
      <w:r>
        <w:rPr>
          <w:rFonts w:cs="Times New Roman"/>
        </w:rPr>
        <w:t xml:space="preserve">附件 </w:t>
      </w:r>
      <w:r>
        <w:rPr>
          <w:rFonts w:hint="eastAsia" w:cs="Times New Roman"/>
          <w:lang w:val="en-US" w:eastAsia="zh-CN"/>
        </w:rPr>
        <w:t>1</w:t>
      </w:r>
    </w:p>
    <w:p>
      <w:pPr>
        <w:spacing w:before="120" w:after="120" w:line="240" w:lineRule="auto"/>
        <w:ind w:firstLine="562"/>
        <w:jc w:val="center"/>
        <w:rPr>
          <w:rFonts w:cs="Times New Roman"/>
          <w:b/>
          <w:bCs/>
        </w:rPr>
      </w:pPr>
      <w:r>
        <w:rPr>
          <w:rFonts w:hint="eastAsia" w:cs="Times New Roman"/>
          <w:b/>
          <w:bCs/>
        </w:rPr>
        <w:t>石材</w:t>
      </w:r>
      <w:r>
        <w:rPr>
          <w:rFonts w:cs="Times New Roman"/>
          <w:b/>
          <w:bCs/>
        </w:rPr>
        <w:t>行业绿色工厂评价要求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BE5D6" w:themeFill="accent2" w:themeFillTint="32"/>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BE5D6" w:themeFill="accent2" w:themeFillTint="32"/>
          <w:tblCellMar>
            <w:top w:w="0" w:type="dxa"/>
            <w:left w:w="108" w:type="dxa"/>
            <w:bottom w:w="0" w:type="dxa"/>
            <w:right w:w="108" w:type="dxa"/>
          </w:tblCellMar>
        </w:tblPrEx>
        <w:tc>
          <w:tcPr>
            <w:tcW w:w="14174" w:type="dxa"/>
            <w:shd w:val="clear" w:color="auto" w:fill="FBE5D6" w:themeFill="accent2" w:themeFillTint="32"/>
          </w:tcPr>
          <w:p>
            <w:pPr>
              <w:spacing w:before="120" w:after="120" w:line="240" w:lineRule="auto"/>
              <w:ind w:firstLine="0" w:firstLineChars="0"/>
              <w:rPr>
                <w:rFonts w:cs="Times New Roman"/>
                <w:b/>
                <w:bCs/>
                <w:sz w:val="21"/>
                <w:szCs w:val="21"/>
              </w:rPr>
            </w:pPr>
            <w:r>
              <w:rPr>
                <w:rFonts w:cs="Times New Roman"/>
                <w:sz w:val="21"/>
                <w:szCs w:val="21"/>
              </w:rPr>
              <w:t>指标满分为300分，评审专家组按照评估打分值形成推荐意见：分值≥240分者，</w:t>
            </w:r>
            <w:r>
              <w:rPr>
                <w:rFonts w:hint="eastAsia" w:cs="Times New Roman"/>
                <w:sz w:val="21"/>
                <w:szCs w:val="21"/>
              </w:rPr>
              <w:t>通过评审并</w:t>
            </w:r>
            <w:r>
              <w:rPr>
                <w:rFonts w:cs="Times New Roman"/>
                <w:sz w:val="21"/>
                <w:szCs w:val="21"/>
              </w:rPr>
              <w:t>推荐评选认定“</w:t>
            </w:r>
            <w:r>
              <w:rPr>
                <w:rFonts w:hint="eastAsia" w:cs="Times New Roman"/>
                <w:sz w:val="21"/>
                <w:szCs w:val="21"/>
              </w:rPr>
              <w:t>石材</w:t>
            </w:r>
            <w:r>
              <w:rPr>
                <w:rFonts w:cs="Times New Roman"/>
                <w:sz w:val="21"/>
                <w:szCs w:val="21"/>
              </w:rPr>
              <w:t>行业绿色工厂”称号</w:t>
            </w:r>
            <w:r>
              <w:rPr>
                <w:rFonts w:hint="eastAsia" w:cs="Times New Roman"/>
                <w:sz w:val="21"/>
                <w:szCs w:val="21"/>
              </w:rPr>
              <w:t>；</w:t>
            </w:r>
            <w:r>
              <w:rPr>
                <w:rFonts w:cs="Times New Roman"/>
                <w:sz w:val="21"/>
                <w:szCs w:val="21"/>
              </w:rPr>
              <w:t>分值</w:t>
            </w:r>
            <w:r>
              <w:rPr>
                <w:rFonts w:hint="eastAsia" w:ascii="宋体" w:hAnsi="宋体" w:cs="Times New Roman"/>
                <w:sz w:val="21"/>
                <w:szCs w:val="21"/>
              </w:rPr>
              <w:t>&lt;</w:t>
            </w:r>
            <w:r>
              <w:rPr>
                <w:rFonts w:cs="Times New Roman"/>
                <w:sz w:val="21"/>
                <w:szCs w:val="21"/>
              </w:rPr>
              <w:t>240分者</w:t>
            </w:r>
            <w:r>
              <w:rPr>
                <w:rFonts w:hint="eastAsia" w:cs="Times New Roman"/>
                <w:sz w:val="21"/>
                <w:szCs w:val="21"/>
              </w:rPr>
              <w:t>，则未通过评审。</w:t>
            </w:r>
          </w:p>
        </w:tc>
      </w:tr>
    </w:tbl>
    <w:p>
      <w:pPr>
        <w:spacing w:before="120" w:after="120" w:line="240" w:lineRule="auto"/>
        <w:ind w:firstLine="480"/>
        <w:jc w:val="left"/>
        <w:rPr>
          <w:rFonts w:cs="Times New Roman"/>
          <w:kern w:val="0"/>
          <w:sz w:val="24"/>
          <w:szCs w:val="24"/>
        </w:rPr>
      </w:pPr>
      <w:r>
        <w:rPr>
          <w:rFonts w:hint="eastAsia" w:cs="Times New Roman"/>
          <w:kern w:val="0"/>
          <w:sz w:val="24"/>
          <w:szCs w:val="24"/>
        </w:rPr>
        <w:t>天然石材行业和合成石材行业一级指标权重设定见表1；天然石材</w:t>
      </w:r>
      <w:r>
        <w:rPr>
          <w:rFonts w:cs="Times New Roman"/>
          <w:kern w:val="0"/>
          <w:sz w:val="24"/>
          <w:szCs w:val="24"/>
        </w:rPr>
        <w:t>行业绿色工厂评价指标要求、判定准则及分值见表</w:t>
      </w:r>
      <w:r>
        <w:rPr>
          <w:rFonts w:hint="eastAsia" w:cs="Times New Roman"/>
          <w:kern w:val="0"/>
          <w:sz w:val="24"/>
          <w:szCs w:val="24"/>
        </w:rPr>
        <w:t>2。合成石材</w:t>
      </w:r>
      <w:r>
        <w:rPr>
          <w:rFonts w:cs="Times New Roman"/>
          <w:kern w:val="0"/>
          <w:sz w:val="24"/>
          <w:szCs w:val="24"/>
        </w:rPr>
        <w:t>行业绿色工厂评价指标要求、判定准则及分值见表</w:t>
      </w:r>
      <w:r>
        <w:rPr>
          <w:rFonts w:hint="eastAsia" w:cs="Times New Roman"/>
          <w:kern w:val="0"/>
          <w:sz w:val="24"/>
          <w:szCs w:val="24"/>
        </w:rPr>
        <w:t>3。</w:t>
      </w:r>
    </w:p>
    <w:p>
      <w:pPr>
        <w:spacing w:before="120" w:after="120" w:line="240" w:lineRule="auto"/>
        <w:ind w:firstLine="480"/>
        <w:jc w:val="center"/>
        <w:rPr>
          <w:rFonts w:eastAsia="黑体" w:cs="Times New Roman"/>
          <w:kern w:val="0"/>
          <w:sz w:val="24"/>
          <w:szCs w:val="24"/>
        </w:rPr>
      </w:pPr>
      <w:r>
        <w:rPr>
          <w:rFonts w:hint="eastAsia" w:eastAsia="黑体" w:cs="Times New Roman"/>
          <w:kern w:val="0"/>
          <w:sz w:val="24"/>
          <w:szCs w:val="24"/>
        </w:rPr>
        <w:t>表1</w:t>
      </w:r>
      <w:r>
        <w:rPr>
          <w:rFonts w:eastAsia="黑体" w:cs="Times New Roman"/>
          <w:kern w:val="0"/>
          <w:sz w:val="24"/>
          <w:szCs w:val="24"/>
        </w:rPr>
        <w:t xml:space="preserve"> </w:t>
      </w:r>
      <w:r>
        <w:rPr>
          <w:rFonts w:hint="eastAsia" w:eastAsia="黑体" w:cs="Times New Roman"/>
          <w:kern w:val="0"/>
          <w:sz w:val="24"/>
          <w:szCs w:val="24"/>
        </w:rPr>
        <w:t>天然石材行业和合成石材行业一级指标权重设定</w:t>
      </w:r>
    </w:p>
    <w:tbl>
      <w:tblPr>
        <w:tblStyle w:val="1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8"/>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天然石材行业</w:t>
            </w: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合成石材行业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合规性及相关要求</w:t>
            </w: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一票否决</w:t>
            </w: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综合要求</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40</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基础设施</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35</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管理体系</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50</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能源资源投入</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40</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产品</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60</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环境排放</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45</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综合绩效</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30</w:t>
            </w:r>
          </w:p>
        </w:tc>
        <w:tc>
          <w:tcPr>
            <w:tcW w:w="2778" w:type="dxa"/>
            <w:vAlign w:val="center"/>
          </w:tcPr>
          <w:p>
            <w:pPr>
              <w:spacing w:before="120" w:after="120" w:line="240" w:lineRule="auto"/>
              <w:ind w:firstLine="0" w:firstLineChars="0"/>
              <w:jc w:val="center"/>
              <w:rPr>
                <w:rFonts w:cs="Times New Roman"/>
                <w:kern w:val="0"/>
                <w:sz w:val="24"/>
                <w:szCs w:val="24"/>
                <w:highlight w:val="none"/>
              </w:rPr>
            </w:pPr>
            <w:r>
              <w:rPr>
                <w:rFonts w:cs="Times New Roman"/>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合计</w:t>
            </w: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300</w:t>
            </w:r>
          </w:p>
        </w:tc>
        <w:tc>
          <w:tcPr>
            <w:tcW w:w="2778" w:type="dxa"/>
            <w:vAlign w:val="center"/>
          </w:tcPr>
          <w:p>
            <w:pPr>
              <w:spacing w:before="120" w:after="120" w:line="240" w:lineRule="auto"/>
              <w:ind w:firstLine="0" w:firstLineChars="0"/>
              <w:jc w:val="center"/>
              <w:rPr>
                <w:rFonts w:cs="Times New Roman"/>
                <w:kern w:val="0"/>
                <w:sz w:val="24"/>
                <w:szCs w:val="24"/>
              </w:rPr>
            </w:pPr>
            <w:r>
              <w:rPr>
                <w:rFonts w:hint="eastAsia" w:cs="Times New Roman"/>
                <w:kern w:val="0"/>
                <w:sz w:val="24"/>
                <w:szCs w:val="24"/>
              </w:rPr>
              <w:t>300</w:t>
            </w:r>
          </w:p>
        </w:tc>
      </w:tr>
    </w:tbl>
    <w:p>
      <w:pPr>
        <w:spacing w:before="120" w:after="120" w:line="240" w:lineRule="auto"/>
        <w:ind w:firstLine="0" w:firstLineChars="0"/>
        <w:jc w:val="left"/>
        <w:rPr>
          <w:rFonts w:cs="Times New Roman"/>
          <w:kern w:val="0"/>
          <w:sz w:val="24"/>
          <w:szCs w:val="24"/>
        </w:rPr>
      </w:pPr>
    </w:p>
    <w:p>
      <w:pPr>
        <w:spacing w:before="120" w:after="120" w:line="240" w:lineRule="auto"/>
        <w:ind w:firstLine="0" w:firstLineChars="0"/>
        <w:jc w:val="left"/>
        <w:rPr>
          <w:rFonts w:cs="Times New Roman"/>
          <w:kern w:val="0"/>
          <w:sz w:val="24"/>
          <w:szCs w:val="24"/>
        </w:rPr>
      </w:pPr>
    </w:p>
    <w:p>
      <w:pPr>
        <w:spacing w:before="120" w:after="120" w:line="240" w:lineRule="auto"/>
        <w:ind w:firstLine="0" w:firstLineChars="0"/>
        <w:jc w:val="left"/>
        <w:rPr>
          <w:rFonts w:cs="Times New Roman"/>
          <w:kern w:val="0"/>
          <w:sz w:val="24"/>
          <w:szCs w:val="24"/>
        </w:rPr>
      </w:pPr>
    </w:p>
    <w:p>
      <w:pPr>
        <w:spacing w:before="120" w:after="120" w:line="240" w:lineRule="auto"/>
        <w:ind w:firstLine="0" w:firstLineChars="0"/>
        <w:jc w:val="left"/>
        <w:rPr>
          <w:rFonts w:cs="Times New Roman"/>
          <w:kern w:val="0"/>
          <w:sz w:val="24"/>
          <w:szCs w:val="24"/>
        </w:rPr>
      </w:pPr>
    </w:p>
    <w:p>
      <w:pPr>
        <w:spacing w:before="120" w:after="120" w:line="240" w:lineRule="auto"/>
        <w:ind w:firstLine="0" w:firstLineChars="0"/>
        <w:jc w:val="left"/>
        <w:rPr>
          <w:rFonts w:cs="Times New Roman"/>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81" w:charSpace="0"/>
        </w:sectPr>
      </w:pPr>
    </w:p>
    <w:p>
      <w:pPr>
        <w:spacing w:before="120" w:after="120" w:line="240" w:lineRule="auto"/>
        <w:ind w:firstLine="0" w:firstLineChars="0"/>
        <w:jc w:val="left"/>
        <w:rPr>
          <w:rFonts w:cs="Times New Roman"/>
          <w:kern w:val="0"/>
          <w:sz w:val="24"/>
          <w:szCs w:val="24"/>
        </w:rPr>
      </w:pPr>
    </w:p>
    <w:p>
      <w:pPr>
        <w:spacing w:before="120" w:after="120" w:line="240" w:lineRule="auto"/>
        <w:ind w:firstLine="480"/>
        <w:jc w:val="center"/>
        <w:rPr>
          <w:rFonts w:cs="Times New Roman"/>
          <w:kern w:val="0"/>
          <w:sz w:val="24"/>
          <w:szCs w:val="24"/>
        </w:rPr>
      </w:pPr>
      <w:r>
        <w:rPr>
          <w:rFonts w:eastAsia="黑体" w:cs="Times New Roman"/>
          <w:kern w:val="0"/>
          <w:sz w:val="24"/>
          <w:szCs w:val="24"/>
        </w:rPr>
        <w:t>表</w:t>
      </w:r>
      <w:r>
        <w:rPr>
          <w:rFonts w:hint="eastAsia" w:eastAsia="黑体" w:cs="Times New Roman"/>
          <w:kern w:val="0"/>
          <w:sz w:val="24"/>
          <w:szCs w:val="24"/>
        </w:rPr>
        <w:t>2</w:t>
      </w:r>
      <w:r>
        <w:rPr>
          <w:rFonts w:eastAsia="黑体" w:cs="Times New Roman"/>
          <w:kern w:val="0"/>
          <w:sz w:val="24"/>
          <w:szCs w:val="24"/>
        </w:rPr>
        <w:t xml:space="preserve"> </w:t>
      </w:r>
      <w:r>
        <w:rPr>
          <w:rFonts w:hint="eastAsia" w:eastAsia="黑体" w:cs="Times New Roman"/>
          <w:kern w:val="0"/>
          <w:sz w:val="24"/>
          <w:szCs w:val="24"/>
        </w:rPr>
        <w:t>天然石材</w:t>
      </w:r>
      <w:r>
        <w:rPr>
          <w:rFonts w:eastAsia="黑体" w:cs="Times New Roman"/>
          <w:kern w:val="0"/>
          <w:sz w:val="24"/>
          <w:szCs w:val="24"/>
        </w:rPr>
        <w:t>行业绿色工厂评价要求、判定准则及分值</w:t>
      </w:r>
    </w:p>
    <w:tbl>
      <w:tblPr>
        <w:tblStyle w:val="9"/>
        <w:tblW w:w="4992" w:type="pct"/>
        <w:tblInd w:w="0" w:type="dxa"/>
        <w:tblLayout w:type="fixed"/>
        <w:tblCellMar>
          <w:top w:w="0" w:type="dxa"/>
          <w:left w:w="108" w:type="dxa"/>
          <w:bottom w:w="0" w:type="dxa"/>
          <w:right w:w="108" w:type="dxa"/>
        </w:tblCellMar>
      </w:tblPr>
      <w:tblGrid>
        <w:gridCol w:w="1085"/>
        <w:gridCol w:w="941"/>
        <w:gridCol w:w="715"/>
        <w:gridCol w:w="4179"/>
        <w:gridCol w:w="588"/>
        <w:gridCol w:w="5966"/>
        <w:gridCol w:w="677"/>
      </w:tblGrid>
      <w:tr>
        <w:tblPrEx>
          <w:tblCellMar>
            <w:top w:w="0" w:type="dxa"/>
            <w:left w:w="108" w:type="dxa"/>
            <w:bottom w:w="0" w:type="dxa"/>
            <w:right w:w="108" w:type="dxa"/>
          </w:tblCellMar>
        </w:tblPrEx>
        <w:trPr>
          <w:trHeight w:val="270" w:hRule="atLeast"/>
          <w:tblHead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一级指标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二级指标</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评价要求</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序号</w:t>
            </w: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判定准则</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分值</w:t>
            </w:r>
          </w:p>
        </w:tc>
      </w:tr>
      <w:tr>
        <w:tblPrEx>
          <w:tblCellMar>
            <w:top w:w="0" w:type="dxa"/>
            <w:left w:w="108" w:type="dxa"/>
            <w:bottom w:w="0" w:type="dxa"/>
            <w:right w:w="108" w:type="dxa"/>
          </w:tblCellMar>
        </w:tblPrEx>
        <w:trPr>
          <w:trHeight w:val="45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合规性与相关要求</w:t>
            </w:r>
          </w:p>
        </w:tc>
        <w:tc>
          <w:tcPr>
            <w:tcW w:w="4377" w:type="pct"/>
            <w:gridSpan w:val="5"/>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工厂应依法设立，在建设和生产过程中应符合有关标准要求。</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一票否决</w:t>
            </w:r>
          </w:p>
        </w:tc>
      </w:tr>
      <w:tr>
        <w:tblPrEx>
          <w:tblCellMar>
            <w:top w:w="0" w:type="dxa"/>
            <w:left w:w="108" w:type="dxa"/>
            <w:bottom w:w="0" w:type="dxa"/>
            <w:right w:w="108" w:type="dxa"/>
          </w:tblCellMar>
        </w:tblPrEx>
        <w:trPr>
          <w:trHeight w:val="196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4377" w:type="pct"/>
            <w:gridSpan w:val="5"/>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从评价日期向前追溯三年内，工厂未发生以下事故、事件及处罚：</w:t>
            </w:r>
            <w:r>
              <w:rPr>
                <w:rFonts w:cs="Times New Roman"/>
                <w:color w:val="000000"/>
                <w:kern w:val="0"/>
                <w:sz w:val="18"/>
                <w:szCs w:val="18"/>
                <w:lang w:bidi="ar"/>
              </w:rPr>
              <w:br w:type="textWrapping"/>
            </w:r>
            <w:r>
              <w:rPr>
                <w:rFonts w:cs="Times New Roman"/>
                <w:color w:val="000000"/>
                <w:kern w:val="0"/>
                <w:sz w:val="18"/>
                <w:szCs w:val="18"/>
                <w:lang w:bidi="ar"/>
              </w:rPr>
              <w:t xml:space="preserve">a) 《生产安全事故报告和调查处理条例》中规定的或地方主管部门认定的较大及以上生产安全事故； </w:t>
            </w:r>
            <w:r>
              <w:rPr>
                <w:rFonts w:cs="Times New Roman"/>
                <w:color w:val="000000"/>
                <w:kern w:val="0"/>
                <w:sz w:val="18"/>
                <w:szCs w:val="18"/>
                <w:lang w:bidi="ar"/>
              </w:rPr>
              <w:br w:type="textWrapping"/>
            </w:r>
            <w:r>
              <w:rPr>
                <w:rFonts w:cs="Times New Roman"/>
                <w:color w:val="000000"/>
                <w:kern w:val="0"/>
                <w:sz w:val="18"/>
                <w:szCs w:val="18"/>
                <w:lang w:bidi="ar"/>
              </w:rPr>
              <w:t>b) 发生环境违法违规行为并受到行政处罚；</w:t>
            </w:r>
            <w:r>
              <w:rPr>
                <w:rFonts w:cs="Times New Roman"/>
                <w:color w:val="000000"/>
                <w:kern w:val="0"/>
                <w:sz w:val="18"/>
                <w:szCs w:val="18"/>
                <w:lang w:bidi="ar"/>
              </w:rPr>
              <w:br w:type="textWrapping"/>
            </w:r>
            <w:r>
              <w:rPr>
                <w:rFonts w:cs="Times New Roman"/>
                <w:color w:val="000000"/>
                <w:kern w:val="0"/>
                <w:sz w:val="18"/>
                <w:szCs w:val="18"/>
                <w:lang w:bidi="ar"/>
              </w:rPr>
              <w:t>c) 在有关主管部门开展的督查、监察工作中发现存在严重问题并受到行政处罚；</w:t>
            </w:r>
            <w:r>
              <w:rPr>
                <w:rFonts w:cs="Times New Roman"/>
                <w:color w:val="000000"/>
                <w:kern w:val="0"/>
                <w:sz w:val="18"/>
                <w:szCs w:val="18"/>
                <w:lang w:bidi="ar"/>
              </w:rPr>
              <w:br w:type="textWrapping"/>
            </w:r>
            <w:r>
              <w:rPr>
                <w:rFonts w:cs="Times New Roman"/>
                <w:color w:val="000000"/>
                <w:kern w:val="0"/>
                <w:sz w:val="18"/>
                <w:szCs w:val="18"/>
                <w:lang w:bidi="ar"/>
              </w:rPr>
              <w:t>d）被列为失信被执行人。</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一票否决</w:t>
            </w:r>
          </w:p>
        </w:tc>
      </w:tr>
      <w:tr>
        <w:tblPrEx>
          <w:tblCellMar>
            <w:top w:w="0" w:type="dxa"/>
            <w:left w:w="108" w:type="dxa"/>
            <w:bottom w:w="0" w:type="dxa"/>
            <w:right w:w="108" w:type="dxa"/>
          </w:tblCellMar>
        </w:tblPrEx>
        <w:trPr>
          <w:trHeight w:val="270" w:hRule="atLeast"/>
        </w:trPr>
        <w:tc>
          <w:tcPr>
            <w:tcW w:w="383"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综合要求</w:t>
            </w:r>
          </w:p>
        </w:tc>
        <w:tc>
          <w:tcPr>
            <w:tcW w:w="4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cs="Times New Roman"/>
                <w:color w:val="000000"/>
                <w:kern w:val="0"/>
                <w:sz w:val="18"/>
                <w:szCs w:val="18"/>
                <w:lang w:bidi="ar"/>
              </w:rPr>
              <w:t>企业依据本表要求</w:t>
            </w:r>
            <w:r>
              <w:rPr>
                <w:rFonts w:hint="eastAsia" w:cs="Times New Roman"/>
                <w:color w:val="000000"/>
                <w:kern w:val="0"/>
                <w:sz w:val="18"/>
                <w:szCs w:val="18"/>
                <w:lang w:eastAsia="zh-CN" w:bidi="ar"/>
              </w:rPr>
              <w:t>，</w:t>
            </w:r>
            <w:r>
              <w:rPr>
                <w:rFonts w:hint="eastAsia" w:cs="Times New Roman"/>
                <w:color w:val="000000"/>
                <w:kern w:val="0"/>
                <w:sz w:val="18"/>
                <w:szCs w:val="18"/>
                <w:lang w:val="en-US" w:eastAsia="zh-CN" w:bidi="ar"/>
              </w:rPr>
              <w:t>自行或委托第三方评价机构编制评价报告。</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b/>
                <w:bCs/>
                <w:color w:val="000000"/>
                <w:sz w:val="18"/>
                <w:szCs w:val="18"/>
              </w:rPr>
            </w:pPr>
            <w:r>
              <w:rPr>
                <w:rFonts w:cs="Times New Roman"/>
                <w:b/>
                <w:bCs/>
                <w:color w:val="000000"/>
                <w:kern w:val="0"/>
                <w:sz w:val="18"/>
                <w:szCs w:val="18"/>
                <w:lang w:bidi="ar"/>
              </w:rPr>
              <w:t>40</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基础设施</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建筑</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厂房建筑由具备资质的专业机构进行设计，设计基础资料完善。荒料储存、运输等设施以及生产车间应采取适宜的封闭、通风、降噪、除尘等措施。</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生产车间采取封闭、通风、降噪、除尘等措施：大、中型荒料堆场划分若干独立的存储区；产品应存放于经处理的可避免扬尘的场地。建有固废暂存场（石粉应全封闭），并有防止扬尘、防雨等措施。</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3</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用于储存生产过程使用或产生的危险品、危险废物的建筑设施，符合相关标准要求。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按</w:t>
            </w:r>
            <w:r>
              <w:rPr>
                <w:rStyle w:val="14"/>
                <w:lang w:bidi="ar"/>
              </w:rPr>
              <w:t>GB 13690</w:t>
            </w:r>
            <w:r>
              <w:rPr>
                <w:rStyle w:val="13"/>
                <w:rFonts w:hint="default" w:ascii="Times New Roman" w:hAnsi="Times New Roman" w:cs="Times New Roman"/>
                <w:lang w:bidi="ar"/>
              </w:rPr>
              <w:t>、《国家危险废物名录》等文件对所使用危险品以及产生的危险废物进行识别及管理。天然石材生产企业需单独存储的危险化学品包括但不限于液化石油气、燃油、乙炔等；需单独放置、处置的危险废物包括但不限于废酸、废碱、废机油、废油桶等。</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从规划设计、场地布局、建筑结构、建筑材料等方面考虑建筑及场地的节材、节能、节水</w:t>
            </w:r>
            <w:r>
              <w:rPr>
                <w:rStyle w:val="13"/>
                <w:rFonts w:hint="default" w:ascii="Times New Roman" w:hAnsi="Times New Roman" w:cs="Times New Roman"/>
                <w:lang w:bidi="ar"/>
              </w:rPr>
              <w:t>和节地等要求。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已硬化地面养护良好，无大面积损坏，雨雪天气排水功能完善，无积水，雨污分流。设置有单独的物流通道与运输车辆出入口。</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2</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照明</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工厂厂区和办公区充分利用自然光采光，提高节能型照明设施和新能源照明设施的配备比例。公共区域宜采用分区、定时及自动控制照明措施。</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公共建筑的走廊、楼梯间、厕所等</w:t>
            </w:r>
            <w:r>
              <w:rPr>
                <w:rStyle w:val="13"/>
                <w:rFonts w:hint="default" w:ascii="Times New Roman" w:hAnsi="Times New Roman" w:cs="Times New Roman"/>
                <w:lang w:bidi="ar"/>
              </w:rPr>
              <w:t>公共场所的照明，按建筑使用条件和天然采光状况采取分区、分组控制措施；住宅建筑共用部位的照明采用自动感应等。</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3"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设备设施</w:t>
            </w:r>
          </w:p>
        </w:tc>
        <w:tc>
          <w:tcPr>
            <w:tcW w:w="25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专用设备</w:t>
            </w:r>
          </w:p>
        </w:tc>
        <w:tc>
          <w:tcPr>
            <w:tcW w:w="1476"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工厂的专用设备应符合相关标准要求，建立相应的验收、淘汰等管理制度。</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主要生产设备、</w:t>
            </w:r>
            <w:r>
              <w:rPr>
                <w:rStyle w:val="13"/>
                <w:rFonts w:hint="default" w:ascii="Times New Roman" w:hAnsi="Times New Roman" w:cs="Times New Roman"/>
                <w:lang w:bidi="ar"/>
              </w:rPr>
              <w:t>装卸设备及设施的完好性和安全性符合标准要求，并应经过鉴定或检验。特种设备设施具有年检证书，并具有定期保养、检查及维护记录。</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FF0000"/>
                <w:sz w:val="18"/>
                <w:szCs w:val="18"/>
              </w:rPr>
            </w:pPr>
            <w:r>
              <w:rPr>
                <w:rFonts w:eastAsia="等线" w:cs="Times New Roman"/>
                <w:color w:val="FF0000"/>
                <w:sz w:val="18"/>
                <w:szCs w:val="18"/>
              </w:rPr>
              <w:t>5</w:t>
            </w:r>
          </w:p>
        </w:tc>
      </w:tr>
      <w:tr>
        <w:tblPrEx>
          <w:tblCellMar>
            <w:top w:w="0" w:type="dxa"/>
            <w:left w:w="108" w:type="dxa"/>
            <w:bottom w:w="0" w:type="dxa"/>
            <w:right w:w="108" w:type="dxa"/>
          </w:tblCellMar>
        </w:tblPrEx>
        <w:trPr>
          <w:trHeight w:val="23"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5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通用设备</w:t>
            </w:r>
          </w:p>
        </w:tc>
        <w:tc>
          <w:tcPr>
            <w:tcW w:w="1476"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工厂的通用设备应符合国家用能设备（产品）能效限定要求或同等水平。</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w:t>
            </w:r>
            <w:r>
              <w:rPr>
                <w:rStyle w:val="15"/>
                <w:rFonts w:hint="default" w:ascii="Times New Roman" w:hAnsi="Times New Roman" w:cs="Times New Roman"/>
                <w:lang w:bidi="ar"/>
              </w:rPr>
              <w:t>应按相关要求对高耗能落后设备制定淘汰计划，并有效执行。不应使用《高耗能落后机电设备（产品）淘汰目录》、《部分工业行业淘汰落后生产工艺装备和产品指导目录（</w:t>
            </w:r>
            <w:r>
              <w:rPr>
                <w:rStyle w:val="16"/>
                <w:lang w:bidi="ar"/>
              </w:rPr>
              <w:t>2010</w:t>
            </w:r>
            <w:r>
              <w:rPr>
                <w:rStyle w:val="15"/>
                <w:rFonts w:hint="default" w:ascii="Times New Roman" w:hAnsi="Times New Roman" w:cs="Times New Roman"/>
                <w:lang w:bidi="ar"/>
              </w:rPr>
              <w:t>年本）》等文件中明令淘汰的设备。</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3"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5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计量设备</w:t>
            </w:r>
          </w:p>
        </w:tc>
        <w:tc>
          <w:tcPr>
            <w:tcW w:w="1476"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w:t>
            </w:r>
            <w:r>
              <w:rPr>
                <w:rStyle w:val="14"/>
                <w:lang w:bidi="ar"/>
              </w:rPr>
              <w:t>GB 17167</w:t>
            </w:r>
            <w:r>
              <w:rPr>
                <w:rStyle w:val="13"/>
                <w:rFonts w:hint="default" w:ascii="Times New Roman" w:hAnsi="Times New Roman" w:cs="Times New Roman"/>
                <w:lang w:bidi="ar"/>
              </w:rPr>
              <w:t>、</w:t>
            </w:r>
            <w:r>
              <w:rPr>
                <w:rStyle w:val="14"/>
                <w:lang w:bidi="ar"/>
              </w:rPr>
              <w:t>GB 24789</w:t>
            </w:r>
            <w:r>
              <w:rPr>
                <w:rStyle w:val="13"/>
                <w:rFonts w:hint="default" w:ascii="Times New Roman" w:hAnsi="Times New Roman" w:cs="Times New Roman"/>
                <w:lang w:bidi="ar"/>
              </w:rPr>
              <w:t>、</w:t>
            </w:r>
            <w:r>
              <w:rPr>
                <w:rStyle w:val="14"/>
                <w:lang w:bidi="ar"/>
              </w:rPr>
              <w:t>GB/T 24851</w:t>
            </w:r>
            <w:r>
              <w:rPr>
                <w:rStyle w:val="13"/>
                <w:rFonts w:hint="default" w:ascii="Times New Roman" w:hAnsi="Times New Roman" w:cs="Times New Roman"/>
                <w:lang w:bidi="ar"/>
              </w:rPr>
              <w:t>等要求配备、使用和管理能源及资源的计量器具和装置，并进行分类计量。</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工厂对</w:t>
            </w:r>
            <w:r>
              <w:rPr>
                <w:rFonts w:hint="eastAsia" w:cs="Times New Roman"/>
                <w:color w:val="000000"/>
                <w:kern w:val="0"/>
                <w:sz w:val="18"/>
                <w:szCs w:val="18"/>
                <w:highlight w:val="none"/>
                <w:lang w:bidi="ar"/>
              </w:rPr>
              <w:t>电力、天然气、热力或其他载能工质</w:t>
            </w:r>
            <w:r>
              <w:rPr>
                <w:rFonts w:cs="Times New Roman"/>
                <w:color w:val="000000"/>
                <w:kern w:val="0"/>
                <w:sz w:val="18"/>
                <w:szCs w:val="18"/>
                <w:lang w:bidi="ar"/>
              </w:rPr>
              <w:t>进行分类计量，并按</w:t>
            </w:r>
            <w:r>
              <w:rPr>
                <w:rStyle w:val="16"/>
                <w:lang w:bidi="ar"/>
              </w:rPr>
              <w:t>GB/T 24851</w:t>
            </w:r>
            <w:r>
              <w:rPr>
                <w:rStyle w:val="15"/>
                <w:rFonts w:hint="default" w:ascii="Times New Roman" w:hAnsi="Times New Roman" w:cs="Times New Roman"/>
                <w:lang w:bidi="ar"/>
              </w:rPr>
              <w:t>的要求对主要用能设备加装能源计量器具。对生活用水及生产用水分别进行计量。</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3"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5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环保设备</w:t>
            </w:r>
            <w:r>
              <w:rPr>
                <w:rStyle w:val="13"/>
                <w:rFonts w:hint="default" w:ascii="Times New Roman" w:hAnsi="Times New Roman" w:cs="Times New Roman"/>
                <w:lang w:bidi="ar"/>
              </w:rPr>
              <w:t>设施</w:t>
            </w:r>
          </w:p>
        </w:tc>
        <w:tc>
          <w:tcPr>
            <w:tcW w:w="1476"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采取封闭措施控制无组织颗粒物排放。配备废气、废水、噪声等污染物治理设备设施，其处理能力应满足工厂达标排放要求。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工厂按要求设置</w:t>
            </w:r>
            <w:r>
              <w:rPr>
                <w:rStyle w:val="13"/>
                <w:rFonts w:hint="default" w:ascii="Times New Roman" w:hAnsi="Times New Roman" w:cs="Times New Roman"/>
                <w:lang w:bidi="ar"/>
              </w:rPr>
              <w:t>颗粒物、</w:t>
            </w:r>
            <w:r>
              <w:rPr>
                <w:rStyle w:val="14"/>
                <w:lang w:bidi="ar"/>
              </w:rPr>
              <w:t>VOCs</w:t>
            </w:r>
            <w:r>
              <w:rPr>
                <w:rStyle w:val="13"/>
                <w:rFonts w:hint="default" w:ascii="Times New Roman" w:hAnsi="Times New Roman" w:cs="Times New Roman"/>
                <w:lang w:bidi="ar"/>
              </w:rPr>
              <w:t>等废气收集及净化设施、污水处理设施（纳入城市污水管网的说明去向）、石粉泥分离措施、消声降噪及减震措施等。各类设施的维护应保存有相应记录。</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管理体系</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质量管理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工厂应建立、实施并保持质量管理体系，质量管理体系应满足</w:t>
            </w:r>
            <w:r>
              <w:rPr>
                <w:rStyle w:val="14"/>
                <w:lang w:bidi="ar"/>
              </w:rPr>
              <w:t>GB/T 19001</w:t>
            </w:r>
            <w:r>
              <w:rPr>
                <w:rStyle w:val="13"/>
                <w:rFonts w:hint="default" w:ascii="Times New Roman" w:hAnsi="Times New Roman" w:cs="Times New Roman"/>
                <w:lang w:bidi="ar"/>
              </w:rPr>
              <w:t>的要求。通过质量管理体系第三方认证并有效实施。</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w:t>
            </w:r>
            <w:bookmarkStart w:id="0" w:name="OLE_LINK1"/>
            <w:r>
              <w:rPr>
                <w:rFonts w:cs="Times New Roman"/>
                <w:color w:val="000000"/>
                <w:kern w:val="0"/>
                <w:sz w:val="18"/>
                <w:szCs w:val="18"/>
                <w:lang w:bidi="ar"/>
              </w:rPr>
              <w:t>有资质的</w:t>
            </w:r>
            <w:bookmarkEnd w:id="0"/>
            <w:r>
              <w:rPr>
                <w:rFonts w:cs="Times New Roman"/>
                <w:color w:val="000000"/>
                <w:kern w:val="0"/>
                <w:sz w:val="18"/>
                <w:szCs w:val="18"/>
                <w:lang w:bidi="ar"/>
              </w:rPr>
              <w:t>第三方机构实施的质量管理体系认证，并保持有效。</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职业健康安全管理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工厂应建立、实施并保持职业健康安全管理体系，职业健康安全管理体系应满足</w:t>
            </w:r>
            <w:r>
              <w:rPr>
                <w:rStyle w:val="16"/>
                <w:lang w:bidi="ar"/>
              </w:rPr>
              <w:t>GB/T 45001</w:t>
            </w:r>
            <w:r>
              <w:rPr>
                <w:rStyle w:val="15"/>
                <w:rFonts w:hint="default" w:ascii="Times New Roman" w:hAnsi="Times New Roman" w:cs="Times New Roman"/>
                <w:lang w:bidi="ar"/>
              </w:rPr>
              <w:t>的要求。通过职业健康安全管理体系第三方认证。</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工厂通过了有资质的第三方机构实施的职业健康安全管理体系认证，并保持有效。</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10</w:t>
            </w:r>
          </w:p>
        </w:tc>
      </w:tr>
      <w:tr>
        <w:tblPrEx>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环境管理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工厂应建立、实施并保持环境管理体系，环境管理体系应满足</w:t>
            </w:r>
            <w:r>
              <w:rPr>
                <w:rStyle w:val="14"/>
                <w:lang w:bidi="ar"/>
              </w:rPr>
              <w:t>GB/T 24001</w:t>
            </w:r>
            <w:r>
              <w:rPr>
                <w:rStyle w:val="13"/>
                <w:rFonts w:hint="default" w:ascii="Times New Roman" w:hAnsi="Times New Roman" w:cs="Times New Roman"/>
                <w:lang w:bidi="ar"/>
              </w:rPr>
              <w:t>的要求。通过环境管理体系第三方认证并有效实施。</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w:t>
            </w:r>
            <w:r>
              <w:rPr>
                <w:rStyle w:val="13"/>
                <w:rFonts w:hint="default" w:ascii="Times New Roman" w:hAnsi="Times New Roman" w:cs="Times New Roman"/>
                <w:lang w:bidi="ar"/>
              </w:rPr>
              <w:t>环境管理体系</w:t>
            </w:r>
            <w:r>
              <w:rPr>
                <w:rFonts w:cs="Times New Roman"/>
                <w:color w:val="000000"/>
                <w:kern w:val="0"/>
                <w:sz w:val="18"/>
                <w:szCs w:val="18"/>
                <w:lang w:bidi="ar"/>
              </w:rPr>
              <w:t>认证，并保持有效。</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10</w:t>
            </w:r>
          </w:p>
        </w:tc>
      </w:tr>
      <w:tr>
        <w:tblPrEx>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工厂应建立、实施并保持能源管理体系，能源管理体系应满足</w:t>
            </w:r>
            <w:r>
              <w:rPr>
                <w:rStyle w:val="16"/>
                <w:lang w:bidi="ar"/>
              </w:rPr>
              <w:t>GB/T 23331</w:t>
            </w:r>
            <w:r>
              <w:rPr>
                <w:rStyle w:val="15"/>
                <w:rFonts w:hint="default" w:ascii="Times New Roman" w:hAnsi="Times New Roman" w:cs="Times New Roman"/>
                <w:lang w:bidi="ar"/>
              </w:rPr>
              <w:t>的要求。通过能源管理体系第三方认证并有效实施。</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w:t>
            </w:r>
            <w:r>
              <w:rPr>
                <w:rStyle w:val="15"/>
                <w:rFonts w:hint="default" w:ascii="Times New Roman" w:hAnsi="Times New Roman" w:cs="Times New Roman"/>
                <w:lang w:bidi="ar"/>
              </w:rPr>
              <w:t>能源管理体系</w:t>
            </w:r>
            <w:r>
              <w:rPr>
                <w:rFonts w:cs="Times New Roman"/>
                <w:color w:val="000000"/>
                <w:kern w:val="0"/>
                <w:sz w:val="18"/>
                <w:szCs w:val="18"/>
                <w:lang w:bidi="ar"/>
              </w:rPr>
              <w:t>认证，并保持有效。</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15</w:t>
            </w:r>
          </w:p>
        </w:tc>
      </w:tr>
      <w:tr>
        <w:tblPrEx>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hint="eastAsia" w:cs="Times New Roman"/>
                <w:color w:val="000000"/>
                <w:kern w:val="0"/>
                <w:sz w:val="18"/>
                <w:szCs w:val="18"/>
                <w:lang w:bidi="ar"/>
              </w:rPr>
              <w:t>社会责任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Style w:val="15"/>
                <w:rFonts w:hint="default" w:ascii="Times New Roman" w:hAnsi="Times New Roman" w:cs="Times New Roman"/>
                <w:lang w:bidi="ar"/>
              </w:rPr>
            </w:pPr>
            <w:r>
              <w:rPr>
                <w:rFonts w:ascii="Times New Roman" w:hAnsi="Times New Roman" w:cs="Times New Roman"/>
                <w:color w:val="000000"/>
                <w:kern w:val="0"/>
                <w:sz w:val="18"/>
                <w:szCs w:val="18"/>
              </w:rPr>
              <w:t>工厂宜</w:t>
            </w:r>
            <w:r>
              <w:rPr>
                <w:rFonts w:hint="eastAsia" w:ascii="Times New Roman" w:hAnsi="Times New Roman" w:cs="Times New Roman"/>
                <w:color w:val="000000"/>
                <w:sz w:val="18"/>
                <w:szCs w:val="18"/>
              </w:rPr>
              <w:t>按</w:t>
            </w:r>
            <w:r>
              <w:rPr>
                <w:rFonts w:ascii="Times New Roman" w:hAnsi="Times New Roman" w:cs="Times New Roman"/>
                <w:color w:val="000000"/>
                <w:kern w:val="0"/>
                <w:sz w:val="18"/>
                <w:szCs w:val="18"/>
              </w:rPr>
              <w:t>GB/T 36000、GB/T 36001定期编制并发布社会责任报告，报告内容包括但不限于企业在环境保护、节能及能源结构优化、资源综合利用、温室气体排放、产品绿色设计等方面的社会责任业绩</w:t>
            </w:r>
            <w:r>
              <w:rPr>
                <w:rFonts w:hint="eastAsia" w:ascii="Times New Roman" w:hAnsi="Times New Roman" w:cs="Times New Roman"/>
                <w:color w:val="000000"/>
                <w:sz w:val="18"/>
                <w:szCs w:val="18"/>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ascii="Times New Roman" w:hAnsi="Times New Roman" w:cs="Times New Roman"/>
                <w:color w:val="000000"/>
                <w:kern w:val="0"/>
                <w:sz w:val="18"/>
                <w:szCs w:val="18"/>
              </w:rPr>
              <w:t>工厂定期向公众披露其社会责任报告。</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等线" w:cs="Times New Roman"/>
                <w:color w:val="000000"/>
                <w:sz w:val="18"/>
                <w:szCs w:val="18"/>
              </w:rPr>
            </w:pPr>
            <w:r>
              <w:rPr>
                <w:rFonts w:hint="eastAsia" w:eastAsia="等线" w:cs="Times New Roman"/>
                <w:color w:val="000000"/>
                <w:sz w:val="18"/>
                <w:szCs w:val="18"/>
              </w:rPr>
              <w:t>3</w:t>
            </w:r>
          </w:p>
        </w:tc>
      </w:tr>
      <w:tr>
        <w:tblPrEx>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信息化和工业化融合管理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工厂宜建立、实施并保持信息化和工业化融合管理体系，满足</w:t>
            </w:r>
            <w:r>
              <w:rPr>
                <w:rStyle w:val="14"/>
                <w:lang w:bidi="ar"/>
              </w:rPr>
              <w:t>GB/T 23001</w:t>
            </w:r>
            <w:r>
              <w:rPr>
                <w:rStyle w:val="13"/>
                <w:rFonts w:hint="default" w:ascii="Times New Roman" w:hAnsi="Times New Roman" w:cs="Times New Roman"/>
                <w:lang w:bidi="ar"/>
              </w:rPr>
              <w:t>的要求。</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工厂应通过管理体系文件、内部评审报告、管理评审报告等材料证明其建立起完整的信息化和工业化融合管理体系。</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等线" w:cs="Times New Roman"/>
                <w:color w:val="000000"/>
                <w:sz w:val="18"/>
                <w:szCs w:val="18"/>
              </w:rPr>
            </w:pPr>
            <w:r>
              <w:rPr>
                <w:rFonts w:eastAsia="等线" w:cs="Times New Roman"/>
                <w:color w:val="000000"/>
                <w:sz w:val="18"/>
                <w:szCs w:val="18"/>
              </w:rPr>
              <w:t>2</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w:t>
            </w:r>
            <w:r>
              <w:rPr>
                <w:rStyle w:val="13"/>
                <w:rFonts w:hint="default" w:ascii="Times New Roman" w:hAnsi="Times New Roman" w:cs="Times New Roman"/>
                <w:lang w:bidi="ar"/>
              </w:rPr>
              <w:t>与资源投入</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能源投入</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工厂应按相关标准开展节能管理，提高能源利用效率。</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工厂应建立完善的节能管理制度，建立节能目标并对结果进行评估。</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工厂宜不断优化用能结构，利用清洁能源、可再生能源等代替传统化石能源。提高清洁能源、可再生能源使用率。</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充分利用太阳能、风能等可再生能源或清洁能源。</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资源投入</w:t>
            </w:r>
          </w:p>
        </w:tc>
        <w:tc>
          <w:tcPr>
            <w:tcW w:w="1729" w:type="pct"/>
            <w:gridSpan w:val="2"/>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 xml:space="preserve">取水定额符合国家和地方相关标准的规定。并按照 </w:t>
            </w:r>
            <w:r>
              <w:rPr>
                <w:rStyle w:val="16"/>
                <w:lang w:bidi="ar"/>
              </w:rPr>
              <w:t>GB/T 7119</w:t>
            </w:r>
            <w:r>
              <w:rPr>
                <w:rStyle w:val="15"/>
                <w:rFonts w:hint="default" w:ascii="Times New Roman" w:hAnsi="Times New Roman" w:cs="Times New Roman"/>
                <w:lang w:bidi="ar"/>
              </w:rPr>
              <w:t>的要求开展节水评价工作。</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单位产品用水量符合国家、地方相关标准的有关规定。工厂定期自行开展或委托第三方开展节水评价工作。</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sz w:val="18"/>
                <w:szCs w:val="18"/>
              </w:rPr>
            </w:pPr>
            <w:r>
              <w:rPr>
                <w:rFonts w:hint="eastAsia" w:cs="Times New Roman"/>
                <w:sz w:val="18"/>
                <w:szCs w:val="18"/>
              </w:rPr>
              <w:t>减少石材</w:t>
            </w:r>
            <w:r>
              <w:rPr>
                <w:rFonts w:cs="Times New Roman"/>
                <w:sz w:val="18"/>
                <w:szCs w:val="18"/>
              </w:rPr>
              <w:t>废渣（</w:t>
            </w:r>
            <w:r>
              <w:rPr>
                <w:rFonts w:hint="eastAsia" w:cs="Times New Roman"/>
                <w:sz w:val="18"/>
                <w:szCs w:val="18"/>
              </w:rPr>
              <w:t>石粉</w:t>
            </w:r>
            <w:r>
              <w:rPr>
                <w:rFonts w:cs="Times New Roman"/>
                <w:sz w:val="18"/>
                <w:szCs w:val="18"/>
              </w:rPr>
              <w:t>、</w:t>
            </w:r>
            <w:r>
              <w:rPr>
                <w:rFonts w:hint="eastAsia" w:cs="Times New Roman"/>
                <w:sz w:val="18"/>
                <w:szCs w:val="18"/>
              </w:rPr>
              <w:t>碎石</w:t>
            </w:r>
            <w:r>
              <w:rPr>
                <w:rFonts w:cs="Times New Roman"/>
                <w:sz w:val="18"/>
                <w:szCs w:val="18"/>
              </w:rPr>
              <w:t>、边角料）的产生，提高</w:t>
            </w:r>
            <w:r>
              <w:rPr>
                <w:rFonts w:hint="eastAsia" w:cs="Times New Roman"/>
                <w:sz w:val="18"/>
                <w:szCs w:val="18"/>
              </w:rPr>
              <w:t>石材荒料的出材率。</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eastAsia="等线" w:cs="Times New Roman"/>
                <w:color w:val="000000"/>
                <w:sz w:val="18"/>
                <w:szCs w:val="18"/>
              </w:rPr>
              <w:t>10</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产品</w:t>
            </w:r>
          </w:p>
        </w:tc>
        <w:tc>
          <w:tcPr>
            <w:tcW w:w="332" w:type="pct"/>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产品</w:t>
            </w:r>
            <w:r>
              <w:rPr>
                <w:rStyle w:val="13"/>
                <w:rFonts w:hint="default" w:ascii="Times New Roman" w:hAnsi="Times New Roman" w:cs="Times New Roman"/>
                <w:lang w:bidi="ar"/>
              </w:rPr>
              <w:t>特性</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工厂所生产的天然石材质量应符合相应标准的要求。</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hint="eastAsia" w:cs="Times New Roman"/>
                <w:color w:val="000000"/>
                <w:kern w:val="0"/>
                <w:sz w:val="18"/>
                <w:szCs w:val="18"/>
                <w:lang w:bidi="ar"/>
              </w:rPr>
              <w:t>提供满足产品标准要求的型式</w:t>
            </w:r>
            <w:r>
              <w:rPr>
                <w:rFonts w:cs="Times New Roman"/>
                <w:color w:val="000000"/>
                <w:kern w:val="0"/>
                <w:sz w:val="18"/>
                <w:szCs w:val="18"/>
                <w:lang w:bidi="ar"/>
              </w:rPr>
              <w:t>检测报告</w:t>
            </w:r>
            <w:r>
              <w:rPr>
                <w:rFonts w:hint="eastAsia" w:cs="Times New Roman"/>
                <w:color w:val="000000"/>
                <w:kern w:val="0"/>
                <w:sz w:val="18"/>
                <w:szCs w:val="18"/>
                <w:lang w:bidi="ar"/>
              </w:rPr>
              <w:t>，</w:t>
            </w:r>
            <w:r>
              <w:rPr>
                <w:rFonts w:cs="Times New Roman"/>
                <w:color w:val="000000"/>
                <w:kern w:val="0"/>
                <w:sz w:val="18"/>
                <w:szCs w:val="18"/>
                <w:lang w:bidi="ar"/>
              </w:rPr>
              <w:t>产品出厂合格率达到100%</w:t>
            </w:r>
            <w:r>
              <w:rPr>
                <w:rFonts w:hint="eastAsia" w:cs="Times New Roman"/>
                <w:color w:val="000000"/>
                <w:kern w:val="0"/>
                <w:sz w:val="18"/>
                <w:szCs w:val="18"/>
                <w:lang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hint="eastAsia"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kern w:val="0"/>
                <w:sz w:val="18"/>
                <w:szCs w:val="18"/>
                <w:lang w:bidi="ar"/>
              </w:rPr>
            </w:pPr>
          </w:p>
        </w:tc>
        <w:tc>
          <w:tcPr>
            <w:tcW w:w="332"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kern w:val="0"/>
                <w:sz w:val="18"/>
                <w:szCs w:val="18"/>
                <w:lang w:bidi="ar"/>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Style w:val="15"/>
                <w:rFonts w:hint="default" w:ascii="Times New Roman" w:hAnsi="Times New Roman" w:cs="Times New Roman"/>
                <w:lang w:bidi="ar"/>
              </w:rPr>
            </w:pPr>
            <w:r>
              <w:rPr>
                <w:rFonts w:hint="eastAsia" w:cs="Times New Roman"/>
                <w:color w:val="000000"/>
                <w:kern w:val="0"/>
                <w:sz w:val="18"/>
                <w:szCs w:val="18"/>
                <w:lang w:val="en-US" w:eastAsia="zh-CN" w:bidi="ar"/>
              </w:rPr>
              <w:t>产品通过</w:t>
            </w:r>
            <w:r>
              <w:rPr>
                <w:rFonts w:cs="Times New Roman"/>
                <w:color w:val="000000"/>
                <w:kern w:val="0"/>
                <w:sz w:val="18"/>
                <w:szCs w:val="18"/>
                <w:lang w:bidi="ar"/>
              </w:rPr>
              <w:t>绿色建材产品认证</w:t>
            </w:r>
            <w:r>
              <w:rPr>
                <w:rFonts w:hint="eastAsia" w:cs="Times New Roman"/>
                <w:color w:val="000000"/>
                <w:kern w:val="0"/>
                <w:sz w:val="18"/>
                <w:szCs w:val="18"/>
                <w:lang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leftChars="0" w:hanging="425"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cs="Times New Roman"/>
                <w:color w:val="000000"/>
                <w:kern w:val="0"/>
                <w:sz w:val="18"/>
                <w:szCs w:val="18"/>
                <w:lang w:bidi="ar"/>
              </w:rPr>
              <w:t>产品获得绿色建材产品认证，按不同星级得分。</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等线" w:cs="Times New Roman"/>
                <w:color w:val="000000"/>
                <w:sz w:val="18"/>
                <w:szCs w:val="18"/>
              </w:rPr>
            </w:pPr>
            <w:r>
              <w:rPr>
                <w:rFonts w:eastAsia="等线" w:cs="Times New Roman"/>
                <w:color w:val="000000"/>
                <w:sz w:val="18"/>
                <w:szCs w:val="18"/>
              </w:rPr>
              <w:t>45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生态设计</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按</w:t>
            </w:r>
            <w:r>
              <w:rPr>
                <w:rStyle w:val="14"/>
                <w:lang w:bidi="ar"/>
              </w:rPr>
              <w:t>GB/T 24256</w:t>
            </w:r>
            <w:r>
              <w:rPr>
                <w:rStyle w:val="13"/>
                <w:rFonts w:hint="default" w:ascii="Times New Roman" w:hAnsi="Times New Roman" w:cs="Times New Roman"/>
                <w:lang w:bidi="ar"/>
              </w:rPr>
              <w:t>等国家和行业标准对生产的产品进行生态设计，并按</w:t>
            </w:r>
            <w:r>
              <w:rPr>
                <w:rStyle w:val="14"/>
                <w:lang w:bidi="ar"/>
              </w:rPr>
              <w:t>GB/T 32161</w:t>
            </w:r>
            <w:r>
              <w:rPr>
                <w:rStyle w:val="13"/>
                <w:rFonts w:hint="default" w:ascii="Times New Roman" w:hAnsi="Times New Roman" w:cs="Times New Roman"/>
                <w:lang w:bidi="ar"/>
              </w:rPr>
              <w:t>等国家和行业标准对产品进行生态设计评价。</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工厂对所生产的产品进行生态设计，形成生命周期评价或III型环境声明报告。</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等线" w:cs="Times New Roman"/>
                <w:color w:val="000000"/>
                <w:sz w:val="18"/>
                <w:szCs w:val="18"/>
              </w:rPr>
            </w:pPr>
            <w:r>
              <w:rPr>
                <w:rFonts w:hint="eastAsia"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减碳</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工厂采用适用的标准或规范对</w:t>
            </w:r>
            <w:r>
              <w:rPr>
                <w:rStyle w:val="13"/>
                <w:rFonts w:hint="default" w:ascii="Times New Roman" w:hAnsi="Times New Roman" w:cs="Times New Roman"/>
                <w:lang w:bidi="ar"/>
              </w:rPr>
              <w:t>天然石材进行碳足迹核算或核查，核查结果宜对外公布，并利用核查结果对其产品的碳足迹进行改善。</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开展碳足迹核算或核查</w:t>
            </w:r>
            <w:r>
              <w:rPr>
                <w:rStyle w:val="15"/>
                <w:rFonts w:hint="default" w:ascii="Times New Roman" w:hAnsi="Times New Roman" w:cs="Times New Roman"/>
                <w:lang w:bidi="ar"/>
              </w:rPr>
              <w:t>，形成结论并对外公布。</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等线" w:cs="Times New Roman"/>
                <w:color w:val="000000"/>
                <w:sz w:val="18"/>
                <w:szCs w:val="18"/>
              </w:rPr>
            </w:pPr>
            <w:r>
              <w:rPr>
                <w:rFonts w:eastAsia="等线" w:cs="Times New Roman"/>
                <w:color w:val="000000"/>
                <w:sz w:val="18"/>
                <w:szCs w:val="18"/>
              </w:rPr>
              <w:t>5</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环境排放</w:t>
            </w: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大气污染物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颗粒物等主要大气污染物排放应进行集中收尘。大气污染物有组织排放和无组织排放分别符合相应标准及环境影响评价批复要求。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通过监测记录、检测报告等材料证明其有组织及无组织大气污染物排放浓度应符合GB 16297、环境影响评价批复以及地方环境保护主管部门要求。</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eastAsia="等线" w:cs="Times New Roman"/>
                <w:color w:val="000000"/>
                <w:sz w:val="18"/>
                <w:szCs w:val="18"/>
                <w:lang w:val="en-US" w:eastAsia="zh-CN"/>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水体污染物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w:t>
            </w:r>
            <w:r>
              <w:rPr>
                <w:rStyle w:val="13"/>
                <w:rFonts w:hint="default" w:ascii="Times New Roman" w:hAnsi="Times New Roman" w:cs="Times New Roman"/>
                <w:lang w:bidi="ar"/>
              </w:rPr>
              <w:t>生产过程中产生的废水应进行处理并合理利用，工厂水污染物排放应符合</w:t>
            </w:r>
            <w:r>
              <w:rPr>
                <w:rStyle w:val="14"/>
                <w:lang w:bidi="ar"/>
              </w:rPr>
              <w:t>GB 8978</w:t>
            </w:r>
            <w:r>
              <w:rPr>
                <w:rStyle w:val="13"/>
                <w:rFonts w:hint="default" w:ascii="Times New Roman" w:hAnsi="Times New Roman" w:cs="Times New Roman"/>
                <w:lang w:bidi="ar"/>
              </w:rPr>
              <w:t>及环境影响评价批复的要求。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工厂通过检测报告、处理记录、处置说明等材料证明其按要求对生产废水及生活污水进行管理与处置，满足达标排放要求。</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eastAsia="等线" w:cs="Times New Roman"/>
                <w:color w:val="000000"/>
                <w:sz w:val="18"/>
                <w:szCs w:val="18"/>
                <w:lang w:val="en-US" w:eastAsia="zh-CN"/>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固体废物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工厂应按相关标准及要求管理和处置其生产过程中产生的一般工业固体废物和危险废物。</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工厂记录一般工业固体废物和危险废物的产生量、综合利用量、处置量、储存量。一般工业固体废物包括但不限于</w:t>
            </w:r>
            <w:r>
              <w:rPr>
                <w:rStyle w:val="13"/>
                <w:rFonts w:hint="default" w:ascii="Times New Roman" w:hAnsi="Times New Roman" w:cs="Times New Roman"/>
                <w:lang w:bidi="ar"/>
              </w:rPr>
              <w:t>碎料、沉淀污泥、包装废物、用于收尘的废滤袋等。危险废物包括但不限于废机油、废胶粘剂桶等。</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eastAsia="等线" w:cs="Times New Roman"/>
                <w:color w:val="000000"/>
                <w:sz w:val="18"/>
                <w:szCs w:val="18"/>
                <w:lang w:val="en-US" w:eastAsia="zh-CN"/>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噪声</w:t>
            </w:r>
            <w:r>
              <w:rPr>
                <w:rStyle w:val="13"/>
                <w:rFonts w:hint="default" w:ascii="Times New Roman" w:hAnsi="Times New Roman" w:cs="Times New Roman"/>
                <w:lang w:bidi="ar"/>
              </w:rPr>
              <w:t>及振动</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工厂的厂界噪声应符合</w:t>
            </w:r>
            <w:r>
              <w:rPr>
                <w:rStyle w:val="14"/>
                <w:lang w:bidi="ar"/>
              </w:rPr>
              <w:t>GB 12348</w:t>
            </w:r>
            <w:r>
              <w:rPr>
                <w:rStyle w:val="13"/>
                <w:rFonts w:hint="default" w:ascii="Times New Roman" w:hAnsi="Times New Roman" w:cs="Times New Roman"/>
                <w:lang w:bidi="ar"/>
              </w:rPr>
              <w:t>、</w:t>
            </w:r>
            <w:r>
              <w:rPr>
                <w:rStyle w:val="14"/>
                <w:lang w:bidi="ar"/>
              </w:rPr>
              <w:t>GB3096</w:t>
            </w:r>
            <w:r>
              <w:rPr>
                <w:rStyle w:val="13"/>
                <w:rFonts w:hint="default" w:ascii="Times New Roman" w:hAnsi="Times New Roman" w:cs="Times New Roman"/>
                <w:lang w:bidi="ar"/>
              </w:rPr>
              <w:t>及环境影响评价批复的要求。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工厂通过噪声检测报告等材料证明其厂界噪声满足</w:t>
            </w:r>
            <w:r>
              <w:rPr>
                <w:rStyle w:val="14"/>
                <w:lang w:bidi="ar"/>
              </w:rPr>
              <w:t>GB 12348</w:t>
            </w:r>
            <w:r>
              <w:rPr>
                <w:rStyle w:val="13"/>
                <w:rFonts w:hint="default" w:ascii="Times New Roman" w:hAnsi="Times New Roman" w:cs="Times New Roman"/>
                <w:lang w:bidi="ar"/>
              </w:rPr>
              <w:t>、</w:t>
            </w:r>
            <w:r>
              <w:rPr>
                <w:rStyle w:val="14"/>
                <w:lang w:bidi="ar"/>
              </w:rPr>
              <w:t>GB3096</w:t>
            </w:r>
            <w:r>
              <w:rPr>
                <w:rStyle w:val="13"/>
                <w:rFonts w:hint="default" w:ascii="Times New Roman" w:hAnsi="Times New Roman" w:cs="Times New Roman"/>
                <w:lang w:bidi="ar"/>
              </w:rPr>
              <w:t>、环境影响评价批复以及地方环境保护主管部门要求。</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eastAsia="等线" w:cs="Times New Roman"/>
                <w:color w:val="000000"/>
                <w:sz w:val="18"/>
                <w:szCs w:val="18"/>
                <w:lang w:val="en-US" w:eastAsia="zh-CN"/>
              </w:rPr>
              <w:t>10</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温室气体</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w:t>
            </w:r>
            <w:r>
              <w:rPr>
                <w:rStyle w:val="14"/>
                <w:lang w:bidi="ar"/>
              </w:rPr>
              <w:t>GB/T 32150</w:t>
            </w:r>
            <w:r>
              <w:rPr>
                <w:rStyle w:val="13"/>
                <w:rFonts w:hint="default" w:ascii="Times New Roman" w:hAnsi="Times New Roman" w:cs="Times New Roman"/>
                <w:lang w:bidi="ar"/>
              </w:rPr>
              <w:t>或其他相关要求对其厂界范围内的温室气体排放进行核算和报告。</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工厂定期开展温室气体核算，并形成温室气体排放报告。</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eastAsia="等线" w:cs="Times New Roman"/>
                <w:color w:val="000000"/>
                <w:sz w:val="18"/>
                <w:szCs w:val="18"/>
              </w:rPr>
            </w:pPr>
            <w:r>
              <w:rPr>
                <w:rFonts w:hint="eastAsia" w:eastAsia="等线" w:cs="Times New Roman"/>
                <w:color w:val="000000"/>
                <w:sz w:val="18"/>
                <w:szCs w:val="18"/>
              </w:rPr>
              <w:t>3</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工厂宜进行温室气体第三方核查，核查结果对外公布。</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工厂委托有资质的第三方对厂界范围内的温室气体排放进行核查，并形成核查报告。</w:t>
            </w:r>
          </w:p>
        </w:tc>
        <w:tc>
          <w:tcPr>
            <w:tcW w:w="2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eastAsia="等线" w:cs="Times New Roman"/>
                <w:color w:val="000000"/>
                <w:sz w:val="18"/>
                <w:szCs w:val="18"/>
              </w:rPr>
            </w:pPr>
            <w:r>
              <w:rPr>
                <w:rFonts w:hint="eastAsia" w:eastAsia="等线" w:cs="Times New Roman"/>
                <w:color w:val="000000"/>
                <w:sz w:val="18"/>
                <w:szCs w:val="18"/>
              </w:rPr>
              <w:t>2</w:t>
            </w:r>
          </w:p>
        </w:tc>
      </w:tr>
      <w:tr>
        <w:tblPrEx>
          <w:tblCellMar>
            <w:top w:w="0" w:type="dxa"/>
            <w:left w:w="108" w:type="dxa"/>
            <w:bottom w:w="0" w:type="dxa"/>
            <w:right w:w="108" w:type="dxa"/>
          </w:tblCellMar>
        </w:tblPrEx>
        <w:trPr>
          <w:trHeight w:val="27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综合绩效</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用地集约化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工厂的单位用地面积产值不低于行业平均水平。</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工厂的单位用地面积产值不低于</w:t>
            </w:r>
            <w:r>
              <w:rPr>
                <w:rStyle w:val="16"/>
                <w:lang w:bidi="ar"/>
              </w:rPr>
              <w:t>3000</w:t>
            </w:r>
            <w:r>
              <w:rPr>
                <w:rStyle w:val="15"/>
                <w:rFonts w:hint="default" w:ascii="Times New Roman" w:hAnsi="Times New Roman" w:cs="Times New Roman"/>
                <w:lang w:bidi="ar"/>
              </w:rPr>
              <w:t>万元</w:t>
            </w:r>
            <w:r>
              <w:rPr>
                <w:rStyle w:val="16"/>
                <w:lang w:bidi="ar"/>
              </w:rPr>
              <w:t>/</w:t>
            </w:r>
            <w:r>
              <w:rPr>
                <w:rStyle w:val="15"/>
                <w:rFonts w:hint="default" w:ascii="Times New Roman" w:hAnsi="Times New Roman" w:cs="Times New Roman"/>
                <w:lang w:bidi="ar"/>
              </w:rPr>
              <w:t>公顷，按公式（</w:t>
            </w:r>
            <w:r>
              <w:rPr>
                <w:rStyle w:val="16"/>
                <w:lang w:bidi="ar"/>
              </w:rPr>
              <w:t>C.</w:t>
            </w:r>
            <w:r>
              <w:rPr>
                <w:rStyle w:val="16"/>
                <w:rFonts w:hint="eastAsia"/>
                <w:lang w:bidi="ar"/>
              </w:rPr>
              <w:t>1</w:t>
            </w:r>
            <w:r>
              <w:rPr>
                <w:rStyle w:val="15"/>
                <w:rFonts w:hint="default" w:ascii="Times New Roman" w:hAnsi="Times New Roman" w:cs="Times New Roman"/>
                <w:lang w:bidi="ar"/>
              </w:rPr>
              <w:t>）计算。</w:t>
            </w:r>
            <w:r>
              <w:rPr>
                <w:rStyle w:val="15"/>
                <w:rFonts w:ascii="Times New Roman" w:hAnsi="Times New Roman" w:cs="Times New Roman"/>
                <w:lang w:bidi="ar"/>
              </w:rPr>
              <w:t>（</w:t>
            </w:r>
            <w:r>
              <w:rPr>
                <w:rStyle w:val="15"/>
                <w:rFonts w:hint="default" w:ascii="Times New Roman" w:hAnsi="Times New Roman" w:cs="Times New Roman"/>
                <w:lang w:bidi="ar"/>
              </w:rPr>
              <w:t>2</w:t>
            </w:r>
            <w:r>
              <w:rPr>
                <w:rStyle w:val="15"/>
                <w:rFonts w:hint="default"/>
                <w:lang w:bidi="ar"/>
              </w:rPr>
              <w:t>00</w:t>
            </w:r>
            <w:r>
              <w:rPr>
                <w:rStyle w:val="15"/>
                <w:lang w:bidi="ar"/>
              </w:rPr>
              <w:t>万元</w:t>
            </w:r>
            <w:r>
              <w:rPr>
                <w:rStyle w:val="15"/>
                <w:rFonts w:hint="default"/>
                <w:lang w:bidi="ar"/>
              </w:rPr>
              <w:t>/</w:t>
            </w:r>
            <w:r>
              <w:rPr>
                <w:rStyle w:val="15"/>
                <w:lang w:bidi="ar"/>
              </w:rPr>
              <w:t>亩）</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原料无害化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kern w:val="0"/>
                <w:sz w:val="18"/>
                <w:szCs w:val="18"/>
              </w:rPr>
              <w:t>工厂</w:t>
            </w:r>
            <w:r>
              <w:rPr>
                <w:rFonts w:hint="eastAsia"/>
                <w:kern w:val="0"/>
                <w:sz w:val="18"/>
                <w:szCs w:val="18"/>
              </w:rPr>
              <w:t>识别其</w:t>
            </w:r>
            <w:r>
              <w:rPr>
                <w:kern w:val="0"/>
                <w:sz w:val="18"/>
                <w:szCs w:val="18"/>
              </w:rPr>
              <w:t>生产过程中使用</w:t>
            </w:r>
            <w:r>
              <w:rPr>
                <w:rFonts w:hint="eastAsia"/>
                <w:kern w:val="0"/>
                <w:sz w:val="18"/>
                <w:szCs w:val="18"/>
              </w:rPr>
              <w:t>的</w:t>
            </w:r>
            <w:r>
              <w:rPr>
                <w:kern w:val="0"/>
                <w:sz w:val="18"/>
                <w:szCs w:val="18"/>
              </w:rPr>
              <w:t>绿色物料。</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hint="eastAsia" w:eastAsia="宋体" w:cs="Times New Roman"/>
                <w:color w:val="000000"/>
                <w:sz w:val="18"/>
                <w:szCs w:val="18"/>
                <w:lang w:eastAsia="zh-CN"/>
              </w:rPr>
            </w:pPr>
            <w:r>
              <w:rPr>
                <w:rFonts w:cs="Times New Roman"/>
                <w:color w:val="000000"/>
                <w:kern w:val="0"/>
                <w:sz w:val="18"/>
                <w:szCs w:val="18"/>
                <w:lang w:bidi="ar"/>
              </w:rPr>
              <w:t>生产过程中使用了绿色物料</w:t>
            </w:r>
            <w:r>
              <w:rPr>
                <w:rFonts w:hint="eastAsia" w:cs="Times New Roman"/>
                <w:color w:val="000000"/>
                <w:kern w:val="0"/>
                <w:sz w:val="18"/>
                <w:szCs w:val="18"/>
                <w:lang w:eastAsia="zh-CN" w:bidi="ar"/>
              </w:rPr>
              <w:t>。</w:t>
            </w:r>
            <w:bookmarkStart w:id="1" w:name="_GoBack"/>
            <w:bookmarkEnd w:id="1"/>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生产洁净化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单位产品主要污染物产生量不高于行业平均水平。</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Style w:val="15"/>
                <w:rFonts w:hint="default" w:ascii="Times New Roman" w:hAnsi="Times New Roman" w:cs="Times New Roman"/>
                <w:lang w:bidi="ar"/>
              </w:rPr>
            </w:pPr>
            <w:r>
              <w:rPr>
                <w:rFonts w:cs="Times New Roman"/>
                <w:color w:val="000000"/>
                <w:kern w:val="0"/>
                <w:sz w:val="18"/>
                <w:szCs w:val="18"/>
                <w:lang w:bidi="ar"/>
              </w:rPr>
              <w:t>大气污染物经处理后有组织颗粒物排放浓度不高于</w:t>
            </w:r>
            <w:r>
              <w:rPr>
                <w:rStyle w:val="14"/>
                <w:lang w:bidi="ar"/>
              </w:rPr>
              <w:t>20mg/m</w:t>
            </w:r>
            <w:r>
              <w:rPr>
                <w:rStyle w:val="17"/>
                <w:lang w:bidi="ar"/>
              </w:rPr>
              <w:t>3</w:t>
            </w:r>
            <w:r>
              <w:rPr>
                <w:rStyle w:val="13"/>
                <w:rFonts w:hint="default" w:ascii="Times New Roman" w:hAnsi="Times New Roman" w:cs="Times New Roman"/>
                <w:lang w:bidi="ar"/>
              </w:rPr>
              <w:t>，无组织颗粒物排放浓度不高于</w:t>
            </w:r>
            <w:r>
              <w:rPr>
                <w:rStyle w:val="14"/>
                <w:lang w:bidi="ar"/>
              </w:rPr>
              <w:t>0.8mg/m</w:t>
            </w:r>
            <w:r>
              <w:rPr>
                <w:rStyle w:val="17"/>
                <w:lang w:bidi="ar"/>
              </w:rPr>
              <w:t>3</w:t>
            </w:r>
            <w:r>
              <w:rPr>
                <w:rStyle w:val="15"/>
                <w:rFonts w:hint="default" w:ascii="Times New Roman" w:hAnsi="Times New Roman" w:cs="Times New Roman"/>
                <w:lang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废物资源化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工厂生产过程产生工业固体废物综合利用率高于行业平均值。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对</w:t>
            </w:r>
            <w:r>
              <w:rPr>
                <w:rStyle w:val="13"/>
                <w:rFonts w:hint="default" w:cs="Times New Roman"/>
                <w:lang w:bidi="ar"/>
              </w:rPr>
              <w:t>产品</w:t>
            </w:r>
            <w:r>
              <w:rPr>
                <w:rStyle w:val="13"/>
                <w:rFonts w:hint="default" w:ascii="Times New Roman" w:hAnsi="Times New Roman" w:cs="Times New Roman"/>
                <w:lang w:bidi="ar"/>
              </w:rPr>
              <w:t>生产过程中各类设施产生的工业固体废物有效识别，并分类统计，综合利用率不低于</w:t>
            </w:r>
            <w:r>
              <w:rPr>
                <w:rStyle w:val="14"/>
                <w:lang w:bidi="ar"/>
              </w:rPr>
              <w:t>80%</w:t>
            </w:r>
            <w:r>
              <w:rPr>
                <w:rStyle w:val="13"/>
                <w:rFonts w:hint="default" w:ascii="Times New Roman" w:hAnsi="Times New Roman" w:cs="Times New Roman"/>
                <w:lang w:bidi="ar"/>
              </w:rPr>
              <w:t>，按公式（</w:t>
            </w:r>
            <w:r>
              <w:rPr>
                <w:rStyle w:val="14"/>
                <w:lang w:bidi="ar"/>
              </w:rPr>
              <w:t>C.</w:t>
            </w:r>
            <w:r>
              <w:rPr>
                <w:rStyle w:val="14"/>
                <w:rFonts w:hint="eastAsia"/>
                <w:lang w:bidi="ar"/>
              </w:rPr>
              <w:t>2</w:t>
            </w:r>
            <w:r>
              <w:rPr>
                <w:rStyle w:val="13"/>
                <w:rFonts w:hint="default" w:ascii="Times New Roman" w:hAnsi="Times New Roman" w:cs="Times New Roman"/>
                <w:lang w:bidi="ar"/>
              </w:rPr>
              <w:t>）计算。</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评价边界内生产过程中各类设施产生废水回用率高于行业平均值。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kern w:val="0"/>
                <w:sz w:val="18"/>
                <w:szCs w:val="18"/>
              </w:rPr>
              <w:t>生产过程废水、生活废水进行分类计量、回收、处理。生产废水经处理后的回用率不低于100%，按公式（C.</w:t>
            </w:r>
            <w:r>
              <w:rPr>
                <w:rFonts w:hint="eastAsia"/>
                <w:kern w:val="0"/>
                <w:sz w:val="18"/>
                <w:szCs w:val="18"/>
              </w:rPr>
              <w:t>3</w:t>
            </w:r>
            <w:r>
              <w:rPr>
                <w:kern w:val="0"/>
                <w:sz w:val="18"/>
                <w:szCs w:val="18"/>
              </w:rPr>
              <w:t>）计算。</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能源低碳化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单位产品的综合能耗符合相关标准规定的行业准入值或同等水平要求。</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firstLineChars="0"/>
              <w:jc w:val="left"/>
              <w:textAlignment w:val="center"/>
              <w:rPr>
                <w:rFonts w:cs="Times New Roman"/>
                <w:color w:val="000000"/>
                <w:sz w:val="18"/>
                <w:szCs w:val="18"/>
              </w:rPr>
            </w:pPr>
          </w:p>
        </w:tc>
        <w:tc>
          <w:tcPr>
            <w:tcW w:w="2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Style w:val="13"/>
                <w:rFonts w:hint="default" w:ascii="Times New Roman" w:hAnsi="Times New Roman" w:cs="Times New Roman"/>
                <w:lang w:bidi="ar"/>
              </w:rPr>
            </w:pPr>
            <w:r>
              <w:rPr>
                <w:rFonts w:cs="Times New Roman"/>
                <w:color w:val="000000"/>
                <w:kern w:val="0"/>
                <w:sz w:val="18"/>
                <w:szCs w:val="18"/>
                <w:lang w:bidi="ar"/>
              </w:rPr>
              <w:t>单位产品综合能耗不高于</w:t>
            </w:r>
            <w:r>
              <w:rPr>
                <w:rStyle w:val="14"/>
                <w:lang w:bidi="ar"/>
              </w:rPr>
              <w:t>2.0 kgce/m</w:t>
            </w:r>
            <w:r>
              <w:rPr>
                <w:rStyle w:val="17"/>
                <w:lang w:bidi="ar"/>
              </w:rPr>
              <w:t>2</w:t>
            </w:r>
            <w:r>
              <w:rPr>
                <w:rStyle w:val="17"/>
                <w:rFonts w:hint="eastAsia"/>
                <w:vertAlign w:val="baseline"/>
                <w:lang w:bidi="ar"/>
              </w:rPr>
              <w:t>（单位折算）</w:t>
            </w:r>
            <w:r>
              <w:rPr>
                <w:rStyle w:val="13"/>
                <w:rFonts w:hint="default" w:ascii="Times New Roman" w:hAnsi="Times New Roman" w:cs="Times New Roman"/>
                <w:lang w:bidi="ar"/>
              </w:rPr>
              <w:t>，按公式（</w:t>
            </w:r>
            <w:r>
              <w:rPr>
                <w:rStyle w:val="14"/>
                <w:lang w:bidi="ar"/>
              </w:rPr>
              <w:t>C.</w:t>
            </w:r>
            <w:r>
              <w:rPr>
                <w:rStyle w:val="14"/>
                <w:rFonts w:hint="eastAsia"/>
                <w:lang w:bidi="ar"/>
              </w:rPr>
              <w:t>4</w:t>
            </w:r>
            <w:r>
              <w:rPr>
                <w:rStyle w:val="13"/>
                <w:rFonts w:hint="default" w:ascii="Times New Roman" w:hAnsi="Times New Roman" w:cs="Times New Roman"/>
                <w:lang w:bidi="ar"/>
              </w:rPr>
              <w:t>）计算。</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bl>
    <w:p>
      <w:pPr>
        <w:widowControl/>
        <w:spacing w:line="240" w:lineRule="auto"/>
        <w:ind w:firstLine="420" w:firstLineChars="0"/>
        <w:jc w:val="center"/>
        <w:rPr>
          <w:rFonts w:cs="Times New Roman"/>
          <w:kern w:val="0"/>
          <w:sz w:val="24"/>
          <w:szCs w:val="24"/>
        </w:rPr>
      </w:pPr>
    </w:p>
    <w:p>
      <w:pPr>
        <w:spacing w:before="190" w:after="190"/>
        <w:ind w:firstLine="560"/>
        <w:sectPr>
          <w:pgSz w:w="16838" w:h="11906" w:orient="landscape"/>
          <w:pgMar w:top="1800" w:right="1440" w:bottom="1800" w:left="1440" w:header="851" w:footer="992" w:gutter="0"/>
          <w:cols w:space="425" w:num="1"/>
          <w:docGrid w:type="lines" w:linePitch="312" w:charSpace="0"/>
        </w:sectPr>
      </w:pPr>
    </w:p>
    <w:p>
      <w:pPr>
        <w:spacing w:before="120" w:after="120" w:line="240" w:lineRule="auto"/>
        <w:ind w:firstLine="480"/>
        <w:jc w:val="center"/>
        <w:rPr>
          <w:rFonts w:cs="Times New Roman"/>
          <w:kern w:val="0"/>
          <w:sz w:val="24"/>
          <w:szCs w:val="24"/>
        </w:rPr>
      </w:pPr>
      <w:r>
        <w:rPr>
          <w:rFonts w:eastAsia="黑体" w:cs="Times New Roman"/>
          <w:kern w:val="0"/>
          <w:sz w:val="24"/>
          <w:szCs w:val="24"/>
        </w:rPr>
        <w:t>表</w:t>
      </w:r>
      <w:r>
        <w:rPr>
          <w:rFonts w:hint="eastAsia" w:eastAsia="黑体" w:cs="Times New Roman"/>
          <w:kern w:val="0"/>
          <w:sz w:val="24"/>
          <w:szCs w:val="24"/>
        </w:rPr>
        <w:t>2</w:t>
      </w:r>
      <w:r>
        <w:rPr>
          <w:rFonts w:eastAsia="黑体" w:cs="Times New Roman"/>
          <w:kern w:val="0"/>
          <w:sz w:val="24"/>
          <w:szCs w:val="24"/>
        </w:rPr>
        <w:t xml:space="preserve"> </w:t>
      </w:r>
      <w:r>
        <w:rPr>
          <w:rFonts w:hint="eastAsia" w:eastAsia="黑体" w:cs="Times New Roman"/>
          <w:kern w:val="0"/>
          <w:sz w:val="24"/>
          <w:szCs w:val="24"/>
        </w:rPr>
        <w:t>合成石材</w:t>
      </w:r>
      <w:r>
        <w:rPr>
          <w:rFonts w:eastAsia="黑体" w:cs="Times New Roman"/>
          <w:kern w:val="0"/>
          <w:sz w:val="24"/>
          <w:szCs w:val="24"/>
        </w:rPr>
        <w:t>行业绿色工厂评价要求、判定准则及分值</w:t>
      </w:r>
    </w:p>
    <w:tbl>
      <w:tblPr>
        <w:tblStyle w:val="9"/>
        <w:tblW w:w="4994" w:type="pct"/>
        <w:tblInd w:w="0" w:type="dxa"/>
        <w:tblLayout w:type="fixed"/>
        <w:tblCellMar>
          <w:top w:w="0" w:type="dxa"/>
          <w:left w:w="108" w:type="dxa"/>
          <w:bottom w:w="0" w:type="dxa"/>
          <w:right w:w="108" w:type="dxa"/>
        </w:tblCellMar>
      </w:tblPr>
      <w:tblGrid>
        <w:gridCol w:w="1086"/>
        <w:gridCol w:w="908"/>
        <w:gridCol w:w="747"/>
        <w:gridCol w:w="4071"/>
        <w:gridCol w:w="580"/>
        <w:gridCol w:w="6178"/>
        <w:gridCol w:w="586"/>
      </w:tblGrid>
      <w:tr>
        <w:tblPrEx>
          <w:tblCellMar>
            <w:top w:w="0" w:type="dxa"/>
            <w:left w:w="108" w:type="dxa"/>
            <w:bottom w:w="0" w:type="dxa"/>
            <w:right w:w="108" w:type="dxa"/>
          </w:tblCellMar>
        </w:tblPrEx>
        <w:trPr>
          <w:trHeight w:val="270" w:hRule="atLeast"/>
          <w:tblHead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一级指标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二级指标</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评价要求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序号</w:t>
            </w: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判定准则</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color w:val="000000"/>
                <w:sz w:val="18"/>
                <w:szCs w:val="18"/>
              </w:rPr>
            </w:pPr>
            <w:r>
              <w:rPr>
                <w:rFonts w:cs="Times New Roman"/>
                <w:b/>
                <w:bCs/>
                <w:color w:val="000000"/>
                <w:kern w:val="0"/>
                <w:sz w:val="18"/>
                <w:szCs w:val="18"/>
                <w:lang w:bidi="ar"/>
              </w:rPr>
              <w:t>分值</w:t>
            </w:r>
          </w:p>
        </w:tc>
      </w:tr>
      <w:tr>
        <w:tblPrEx>
          <w:tblCellMar>
            <w:top w:w="0" w:type="dxa"/>
            <w:left w:w="108" w:type="dxa"/>
            <w:bottom w:w="0" w:type="dxa"/>
            <w:right w:w="108" w:type="dxa"/>
          </w:tblCellMar>
        </w:tblPrEx>
        <w:trPr>
          <w:trHeight w:val="45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合规性与相关要求</w:t>
            </w:r>
          </w:p>
        </w:tc>
        <w:tc>
          <w:tcPr>
            <w:tcW w:w="4409" w:type="pct"/>
            <w:gridSpan w:val="5"/>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工厂应依法设立，在建设和生产过程中应符合有关标准要求。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一票否决</w:t>
            </w:r>
          </w:p>
        </w:tc>
      </w:tr>
      <w:tr>
        <w:tblPrEx>
          <w:tblCellMar>
            <w:top w:w="0" w:type="dxa"/>
            <w:left w:w="108" w:type="dxa"/>
            <w:bottom w:w="0" w:type="dxa"/>
            <w:right w:w="108" w:type="dxa"/>
          </w:tblCellMar>
        </w:tblPrEx>
        <w:trPr>
          <w:trHeight w:val="196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4409" w:type="pct"/>
            <w:gridSpan w:val="5"/>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从评价日期向前追溯三年内，工厂未发生以下事故、事件及处罚：</w:t>
            </w:r>
            <w:r>
              <w:rPr>
                <w:rFonts w:cs="Times New Roman"/>
                <w:color w:val="000000"/>
                <w:kern w:val="0"/>
                <w:sz w:val="18"/>
                <w:szCs w:val="18"/>
                <w:lang w:bidi="ar"/>
              </w:rPr>
              <w:br w:type="textWrapping"/>
            </w:r>
            <w:r>
              <w:rPr>
                <w:rFonts w:cs="Times New Roman"/>
                <w:color w:val="000000"/>
                <w:kern w:val="0"/>
                <w:sz w:val="18"/>
                <w:szCs w:val="18"/>
                <w:lang w:bidi="ar"/>
              </w:rPr>
              <w:t xml:space="preserve">a) 《生产安全事故报告和调查处理条例》中规定的或地方主管部门认定的较大及以上生产安全事故； </w:t>
            </w:r>
            <w:r>
              <w:rPr>
                <w:rFonts w:cs="Times New Roman"/>
                <w:color w:val="000000"/>
                <w:kern w:val="0"/>
                <w:sz w:val="18"/>
                <w:szCs w:val="18"/>
                <w:lang w:bidi="ar"/>
              </w:rPr>
              <w:br w:type="textWrapping"/>
            </w:r>
            <w:r>
              <w:rPr>
                <w:rFonts w:cs="Times New Roman"/>
                <w:color w:val="000000"/>
                <w:kern w:val="0"/>
                <w:sz w:val="18"/>
                <w:szCs w:val="18"/>
                <w:lang w:bidi="ar"/>
              </w:rPr>
              <w:t>b) 发生环境违法违规行为并受到行政处罚；</w:t>
            </w:r>
            <w:r>
              <w:rPr>
                <w:rFonts w:cs="Times New Roman"/>
                <w:color w:val="000000"/>
                <w:kern w:val="0"/>
                <w:sz w:val="18"/>
                <w:szCs w:val="18"/>
                <w:lang w:bidi="ar"/>
              </w:rPr>
              <w:br w:type="textWrapping"/>
            </w:r>
            <w:r>
              <w:rPr>
                <w:rFonts w:cs="Times New Roman"/>
                <w:color w:val="000000"/>
                <w:kern w:val="0"/>
                <w:sz w:val="18"/>
                <w:szCs w:val="18"/>
                <w:lang w:bidi="ar"/>
              </w:rPr>
              <w:t>c) 在有关主管部门开展的督查、监察工作中发现存在严重问题并受到行政处罚；</w:t>
            </w:r>
            <w:r>
              <w:rPr>
                <w:rFonts w:cs="Times New Roman"/>
                <w:color w:val="000000"/>
                <w:kern w:val="0"/>
                <w:sz w:val="18"/>
                <w:szCs w:val="18"/>
                <w:lang w:bidi="ar"/>
              </w:rPr>
              <w:br w:type="textWrapping"/>
            </w:r>
            <w:r>
              <w:rPr>
                <w:rFonts w:cs="Times New Roman"/>
                <w:color w:val="000000"/>
                <w:kern w:val="0"/>
                <w:sz w:val="18"/>
                <w:szCs w:val="18"/>
                <w:lang w:bidi="ar"/>
              </w:rPr>
              <w:t>d）被列为失信被执行人。</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一票否决</w:t>
            </w:r>
          </w:p>
        </w:tc>
      </w:tr>
      <w:tr>
        <w:tblPrEx>
          <w:tblCellMar>
            <w:top w:w="0" w:type="dxa"/>
            <w:left w:w="108" w:type="dxa"/>
            <w:bottom w:w="0" w:type="dxa"/>
            <w:right w:w="108" w:type="dxa"/>
          </w:tblCellMar>
        </w:tblPrEx>
        <w:trPr>
          <w:trHeight w:val="270" w:hRule="atLeast"/>
        </w:trPr>
        <w:tc>
          <w:tcPr>
            <w:tcW w:w="384"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综合要求</w:t>
            </w:r>
          </w:p>
        </w:tc>
        <w:tc>
          <w:tcPr>
            <w:tcW w:w="44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企业依据本表要求</w:t>
            </w:r>
            <w:r>
              <w:rPr>
                <w:rFonts w:hint="eastAsia" w:cs="Times New Roman"/>
                <w:color w:val="000000"/>
                <w:kern w:val="0"/>
                <w:sz w:val="18"/>
                <w:szCs w:val="18"/>
                <w:lang w:eastAsia="zh-CN" w:bidi="ar"/>
              </w:rPr>
              <w:t>，</w:t>
            </w:r>
            <w:r>
              <w:rPr>
                <w:rFonts w:hint="eastAsia" w:cs="Times New Roman"/>
                <w:color w:val="000000"/>
                <w:kern w:val="0"/>
                <w:sz w:val="18"/>
                <w:szCs w:val="18"/>
                <w:lang w:val="en-US" w:eastAsia="zh-CN" w:bidi="ar"/>
              </w:rPr>
              <w:t>自行或委托第三方评价机构编制评价报告。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b/>
                <w:bCs/>
                <w:color w:val="000000"/>
                <w:sz w:val="18"/>
                <w:szCs w:val="18"/>
              </w:rPr>
            </w:pPr>
            <w:r>
              <w:rPr>
                <w:rFonts w:cs="Times New Roman"/>
                <w:b/>
                <w:bCs/>
                <w:color w:val="000000"/>
                <w:kern w:val="0"/>
                <w:sz w:val="18"/>
                <w:szCs w:val="18"/>
                <w:lang w:bidi="ar"/>
              </w:rPr>
              <w:t>40</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基础设施</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建筑</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厂房建筑由具备资质的专业机构进行设计，设计基础资料完善。荒料储存、运输等设施以及生产车间应采取适宜的封闭、通风、降噪、除尘等措施。</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生产车间采取封闭、通风、降噪、除尘等措施：大、中型荒料堆场划分若干独立的存储区；产品应存放于经处理的可避免扬尘的场地。建有固废暂存场（石粉应全封闭），并有防止扬尘、防雨等措施。</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3</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用于储存生产过程使用或产生的危险品、危险废物的建筑设施，符合相关标准要求。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按</w:t>
            </w:r>
            <w:r>
              <w:rPr>
                <w:rStyle w:val="14"/>
                <w:lang w:bidi="ar"/>
              </w:rPr>
              <w:t>GB 13690</w:t>
            </w:r>
            <w:r>
              <w:rPr>
                <w:rStyle w:val="13"/>
                <w:rFonts w:hint="default" w:ascii="Times New Roman" w:hAnsi="Times New Roman" w:cs="Times New Roman"/>
                <w:lang w:bidi="ar"/>
              </w:rPr>
              <w:t>、《国家危险废物名录》等文件对所使用危险品以及产生的危险废物进行识别及管理。</w:t>
            </w:r>
            <w:r>
              <w:rPr>
                <w:rStyle w:val="13"/>
                <w:rFonts w:cs="Times New Roman"/>
                <w:lang w:bidi="ar"/>
              </w:rPr>
              <w:t>合成</w:t>
            </w:r>
            <w:r>
              <w:rPr>
                <w:rStyle w:val="13"/>
                <w:rFonts w:hint="default" w:ascii="Times New Roman" w:hAnsi="Times New Roman" w:cs="Times New Roman"/>
                <w:lang w:bidi="ar"/>
              </w:rPr>
              <w:t>石材生产企业需单独存储的危险化学品包括但不限于液化石油气、燃油、乙炔等；需单独放置、处置的危险废物包括但不限于废酸、废碱、废机油、废油桶等。</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从规划设计、场地布局、建筑结构、建筑材料等方面考虑建筑及场地的节材、节能、节水</w:t>
            </w:r>
            <w:r>
              <w:rPr>
                <w:rStyle w:val="13"/>
                <w:rFonts w:hint="default" w:ascii="Times New Roman" w:hAnsi="Times New Roman" w:cs="Times New Roman"/>
                <w:lang w:bidi="ar"/>
              </w:rPr>
              <w:t>和节地等要求。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已硬化地面养护良好，无大面积损坏，雨雪天气排水功能完善，无积水，雨污分流。设置有单独的物流通道与运输车辆出入口。</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2</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照明</w:t>
            </w:r>
          </w:p>
        </w:tc>
        <w:tc>
          <w:tcPr>
            <w:tcW w:w="1729" w:type="pct"/>
            <w:gridSpan w:val="2"/>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工厂厂区和办公区充分利用自然光采光，提高节能型照明设施和新能源照明设施的配备比例。公共区域宜采用分区、定时及自动控制照明措施。</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公共建筑的走廊、楼梯间、厕所等</w:t>
            </w:r>
            <w:r>
              <w:rPr>
                <w:rStyle w:val="13"/>
                <w:rFonts w:hint="default" w:ascii="Times New Roman" w:hAnsi="Times New Roman" w:cs="Times New Roman"/>
                <w:lang w:bidi="ar"/>
              </w:rPr>
              <w:t>公共场所的照明，按建筑使用条件和天然采光状况采取分区、分组控制措施；住宅建筑共用部位的照明采用自动感应等。</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充分利用天然采光，</w:t>
            </w:r>
            <w:r>
              <w:rPr>
                <w:rStyle w:val="13"/>
                <w:rFonts w:hint="default" w:ascii="Times New Roman" w:hAnsi="Times New Roman" w:cs="Times New Roman"/>
                <w:lang w:bidi="ar"/>
              </w:rPr>
              <w:t>室外公共区域照明采用可再生能源路灯安装率达</w:t>
            </w:r>
            <w:r>
              <w:rPr>
                <w:rStyle w:val="14"/>
                <w:lang w:bidi="ar"/>
              </w:rPr>
              <w:t>100%</w:t>
            </w:r>
            <w:r>
              <w:rPr>
                <w:rStyle w:val="13"/>
                <w:rFonts w:hint="default" w:ascii="Times New Roman" w:hAnsi="Times New Roman" w:cs="Times New Roman"/>
                <w:lang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设备设施</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专用设备</w:t>
            </w:r>
          </w:p>
        </w:tc>
        <w:tc>
          <w:tcPr>
            <w:tcW w:w="1461"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工厂的专用设备应符合相关标准要求，建立相应的验收、淘汰等管理制度。</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主要生产设备、</w:t>
            </w:r>
            <w:r>
              <w:rPr>
                <w:rStyle w:val="13"/>
                <w:rFonts w:hint="default" w:ascii="Times New Roman" w:hAnsi="Times New Roman" w:cs="Times New Roman"/>
                <w:lang w:bidi="ar"/>
              </w:rPr>
              <w:t>装卸设备及设施的完好性和安全性符合标准要求，并应经过鉴定或检验。特种设备设施具有年检证书，并具有定期保养、检查及维护记录。</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FF0000"/>
                <w:sz w:val="18"/>
                <w:szCs w:val="18"/>
              </w:rPr>
            </w:pPr>
            <w:r>
              <w:rPr>
                <w:rFonts w:cs="Times New Roman"/>
                <w:color w:val="FF0000"/>
                <w:kern w:val="0"/>
                <w:sz w:val="18"/>
                <w:szCs w:val="18"/>
                <w:lang w:bidi="ar"/>
              </w:rPr>
              <w:t>5</w:t>
            </w:r>
          </w:p>
        </w:tc>
      </w:tr>
      <w:tr>
        <w:tblPrEx>
          <w:tblCellMar>
            <w:top w:w="0" w:type="dxa"/>
            <w:left w:w="108" w:type="dxa"/>
            <w:bottom w:w="0" w:type="dxa"/>
            <w:right w:w="108" w:type="dxa"/>
          </w:tblCellMar>
        </w:tblPrEx>
        <w:trPr>
          <w:trHeight w:val="2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461"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建设满足</w:t>
            </w:r>
            <w:r>
              <w:rPr>
                <w:rFonts w:hint="eastAsia" w:cs="Times New Roman"/>
                <w:color w:val="000000"/>
                <w:kern w:val="0"/>
                <w:sz w:val="18"/>
                <w:szCs w:val="18"/>
                <w:lang w:bidi="ar"/>
              </w:rPr>
              <w:t>合成</w:t>
            </w:r>
            <w:r>
              <w:rPr>
                <w:rStyle w:val="13"/>
                <w:rFonts w:hint="default" w:ascii="Times New Roman" w:hAnsi="Times New Roman" w:cs="Times New Roman"/>
                <w:lang w:bidi="ar"/>
              </w:rPr>
              <w:t>石材行业要求的实验室，并配有与产品相关的检测设备。</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建有配备检测原材料、成品等相关性能设备的实验室，并及时主动对原材料、半成品及成品进行检验。</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通用设备</w:t>
            </w:r>
          </w:p>
        </w:tc>
        <w:tc>
          <w:tcPr>
            <w:tcW w:w="1461"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工厂的通用设备应符合国家用能设备（产品）能效限定要求或同等水平。</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w:t>
            </w:r>
            <w:r>
              <w:rPr>
                <w:rStyle w:val="15"/>
                <w:rFonts w:hint="default" w:ascii="Times New Roman" w:hAnsi="Times New Roman" w:cs="Times New Roman"/>
                <w:lang w:bidi="ar"/>
              </w:rPr>
              <w:t>应按相关要求对高耗能落后设备制定淘汰计划，并有效执行。不应使用《高耗能落后机电设备（产品）淘汰目录》、《部分工业行业淘汰落后生产工艺装备和产品指导目录（</w:t>
            </w:r>
            <w:r>
              <w:rPr>
                <w:rStyle w:val="16"/>
                <w:lang w:bidi="ar"/>
              </w:rPr>
              <w:t>2010</w:t>
            </w:r>
            <w:r>
              <w:rPr>
                <w:rStyle w:val="15"/>
                <w:rFonts w:hint="default" w:ascii="Times New Roman" w:hAnsi="Times New Roman" w:cs="Times New Roman"/>
                <w:lang w:bidi="ar"/>
              </w:rPr>
              <w:t>年本）》等文件中明令淘汰的设备。</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计量设备</w:t>
            </w:r>
          </w:p>
        </w:tc>
        <w:tc>
          <w:tcPr>
            <w:tcW w:w="1461"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w:t>
            </w:r>
            <w:r>
              <w:rPr>
                <w:rStyle w:val="14"/>
                <w:lang w:bidi="ar"/>
              </w:rPr>
              <w:t>GB 17167</w:t>
            </w:r>
            <w:r>
              <w:rPr>
                <w:rStyle w:val="13"/>
                <w:rFonts w:hint="default" w:ascii="Times New Roman" w:hAnsi="Times New Roman" w:cs="Times New Roman"/>
                <w:lang w:bidi="ar"/>
              </w:rPr>
              <w:t>、</w:t>
            </w:r>
            <w:r>
              <w:rPr>
                <w:rStyle w:val="14"/>
                <w:lang w:bidi="ar"/>
              </w:rPr>
              <w:t>GB 24789</w:t>
            </w:r>
            <w:r>
              <w:rPr>
                <w:rStyle w:val="13"/>
                <w:rFonts w:hint="default" w:ascii="Times New Roman" w:hAnsi="Times New Roman" w:cs="Times New Roman"/>
                <w:lang w:bidi="ar"/>
              </w:rPr>
              <w:t>、</w:t>
            </w:r>
            <w:r>
              <w:rPr>
                <w:rStyle w:val="14"/>
                <w:lang w:bidi="ar"/>
              </w:rPr>
              <w:t>GB/T 24851</w:t>
            </w:r>
            <w:r>
              <w:rPr>
                <w:rStyle w:val="13"/>
                <w:rFonts w:hint="default" w:ascii="Times New Roman" w:hAnsi="Times New Roman" w:cs="Times New Roman"/>
                <w:lang w:bidi="ar"/>
              </w:rPr>
              <w:t>等要求配备、使用和管理能源及资源的计量器具和装置，并进行分类计量。</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工厂对电力、天然气、热力或其他载能工质进行分类计量，并按</w:t>
            </w:r>
            <w:r>
              <w:rPr>
                <w:rStyle w:val="16"/>
                <w:lang w:bidi="ar"/>
              </w:rPr>
              <w:t>GB/T 24851</w:t>
            </w:r>
            <w:r>
              <w:rPr>
                <w:rStyle w:val="15"/>
                <w:rFonts w:hint="default" w:ascii="Times New Roman" w:hAnsi="Times New Roman" w:cs="Times New Roman"/>
                <w:lang w:bidi="ar"/>
              </w:rPr>
              <w:t>的要求对主要用能设备加装能源计量器具。对生活用水及生产用水分别进行计量。</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3"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6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环保设备</w:t>
            </w:r>
            <w:r>
              <w:rPr>
                <w:rStyle w:val="13"/>
                <w:rFonts w:hint="default" w:ascii="Times New Roman" w:hAnsi="Times New Roman" w:cs="Times New Roman"/>
                <w:lang w:bidi="ar"/>
              </w:rPr>
              <w:t>设施</w:t>
            </w:r>
          </w:p>
        </w:tc>
        <w:tc>
          <w:tcPr>
            <w:tcW w:w="1461"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采取封闭措施控制无组织颗粒物排放。配备废气、废水、噪声等污染物治理设备设施，其处理能力应满足工厂达标排放要求。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工厂按要求设置</w:t>
            </w:r>
            <w:r>
              <w:rPr>
                <w:rStyle w:val="13"/>
                <w:rFonts w:hint="default" w:ascii="Times New Roman" w:hAnsi="Times New Roman" w:cs="Times New Roman"/>
                <w:lang w:bidi="ar"/>
              </w:rPr>
              <w:t>颗粒物、</w:t>
            </w:r>
            <w:r>
              <w:rPr>
                <w:rStyle w:val="14"/>
                <w:lang w:bidi="ar"/>
              </w:rPr>
              <w:t>VOCs</w:t>
            </w:r>
            <w:r>
              <w:rPr>
                <w:rStyle w:val="13"/>
                <w:rFonts w:hint="default" w:ascii="Times New Roman" w:hAnsi="Times New Roman" w:cs="Times New Roman"/>
                <w:lang w:bidi="ar"/>
              </w:rPr>
              <w:t>等废气收集及净化设施、污水处理设施（纳入城市污水管网的说明去向）、石粉泥分离措施、消声降噪及减震措施等。各类设施的维护应保存有相应记录。</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管理体系</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质量管理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工厂应建立、实施并保持质量管理体系，质量管理体系应满足</w:t>
            </w:r>
            <w:r>
              <w:rPr>
                <w:rStyle w:val="14"/>
                <w:lang w:bidi="ar"/>
              </w:rPr>
              <w:t>GB/T 19001</w:t>
            </w:r>
            <w:r>
              <w:rPr>
                <w:rStyle w:val="13"/>
                <w:rFonts w:hint="default" w:ascii="Times New Roman" w:hAnsi="Times New Roman" w:cs="Times New Roman"/>
                <w:lang w:bidi="ar"/>
              </w:rPr>
              <w:t>的要求。通过质量管理体系第三方认证并有效实施。</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工厂通过了有资质的第三方机构实施的质量管理体系认证，并保持有效。</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sz w:val="18"/>
                <w:szCs w:val="18"/>
              </w:rPr>
              <w:t>10</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职业健康安全管理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工厂应建立、实施并保持职业健康安全管理体系，职业健康安全管理体系应满足</w:t>
            </w:r>
            <w:r>
              <w:rPr>
                <w:rStyle w:val="16"/>
                <w:lang w:bidi="ar"/>
              </w:rPr>
              <w:t>GB/T 45001</w:t>
            </w:r>
            <w:r>
              <w:rPr>
                <w:rStyle w:val="15"/>
                <w:rFonts w:hint="default" w:ascii="Times New Roman" w:hAnsi="Times New Roman" w:cs="Times New Roman"/>
                <w:lang w:bidi="ar"/>
              </w:rPr>
              <w:t>的要求。通过职业健康安全管理体系第三方认证。</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工厂通过了有资质的第三方机构实施的职业健康安全管理体系认证，并保持有效。</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sz w:val="18"/>
                <w:szCs w:val="18"/>
              </w:rPr>
              <w:t>10</w:t>
            </w:r>
          </w:p>
        </w:tc>
      </w:tr>
      <w:tr>
        <w:tblPrEx>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环境管理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工厂应建立、实施并保持环境管理体系，环境管理体系应满足</w:t>
            </w:r>
            <w:r>
              <w:rPr>
                <w:rStyle w:val="14"/>
                <w:lang w:bidi="ar"/>
              </w:rPr>
              <w:t>GB/T 24001</w:t>
            </w:r>
            <w:r>
              <w:rPr>
                <w:rStyle w:val="13"/>
                <w:rFonts w:hint="default" w:ascii="Times New Roman" w:hAnsi="Times New Roman" w:cs="Times New Roman"/>
                <w:lang w:bidi="ar"/>
              </w:rPr>
              <w:t>的要求。通过环境管理体系第三方认证并有效实施。</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w:t>
            </w:r>
            <w:r>
              <w:rPr>
                <w:rStyle w:val="13"/>
                <w:rFonts w:hint="default" w:ascii="Times New Roman" w:hAnsi="Times New Roman" w:cs="Times New Roman"/>
                <w:lang w:bidi="ar"/>
              </w:rPr>
              <w:t>环境管理体系</w:t>
            </w:r>
            <w:r>
              <w:rPr>
                <w:rFonts w:cs="Times New Roman"/>
                <w:color w:val="000000"/>
                <w:kern w:val="0"/>
                <w:sz w:val="18"/>
                <w:szCs w:val="18"/>
                <w:lang w:bidi="ar"/>
              </w:rPr>
              <w:t>认证，并保持有效。</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10</w:t>
            </w:r>
          </w:p>
        </w:tc>
      </w:tr>
      <w:tr>
        <w:tblPrEx>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工厂应建立、实施并保持能源管理体系，能源管理体系应满足</w:t>
            </w:r>
            <w:r>
              <w:rPr>
                <w:rStyle w:val="16"/>
                <w:lang w:bidi="ar"/>
              </w:rPr>
              <w:t>GB/T 23331</w:t>
            </w:r>
            <w:r>
              <w:rPr>
                <w:rStyle w:val="15"/>
                <w:rFonts w:hint="default" w:ascii="Times New Roman" w:hAnsi="Times New Roman" w:cs="Times New Roman"/>
                <w:lang w:bidi="ar"/>
              </w:rPr>
              <w:t>的要求。通过能源管理体系第三方认证并有效实施。</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工厂通过了有资质的第三方机构实施的</w:t>
            </w:r>
            <w:r>
              <w:rPr>
                <w:rStyle w:val="15"/>
                <w:rFonts w:hint="default" w:ascii="Times New Roman" w:hAnsi="Times New Roman" w:cs="Times New Roman"/>
                <w:lang w:bidi="ar"/>
              </w:rPr>
              <w:t>能源管理体系</w:t>
            </w:r>
            <w:r>
              <w:rPr>
                <w:rFonts w:cs="Times New Roman"/>
                <w:color w:val="000000"/>
                <w:kern w:val="0"/>
                <w:sz w:val="18"/>
                <w:szCs w:val="18"/>
                <w:lang w:bidi="ar"/>
              </w:rPr>
              <w:t>认证，并保持有效。</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hint="eastAsia" w:cs="Times New Roman"/>
                <w:color w:val="000000"/>
                <w:kern w:val="0"/>
                <w:sz w:val="18"/>
                <w:szCs w:val="18"/>
                <w:lang w:bidi="ar"/>
              </w:rPr>
              <w:t>1</w:t>
            </w:r>
            <w:r>
              <w:rPr>
                <w:rFonts w:cs="Times New Roman"/>
                <w:color w:val="000000"/>
                <w:kern w:val="0"/>
                <w:sz w:val="18"/>
                <w:szCs w:val="18"/>
                <w:lang w:bidi="ar"/>
              </w:rPr>
              <w:t>5</w:t>
            </w:r>
          </w:p>
        </w:tc>
      </w:tr>
      <w:tr>
        <w:tblPrEx>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hint="eastAsia" w:cs="Times New Roman"/>
                <w:color w:val="000000"/>
                <w:kern w:val="0"/>
                <w:sz w:val="18"/>
                <w:szCs w:val="18"/>
                <w:lang w:bidi="ar"/>
              </w:rPr>
              <w:t>社会责任</w:t>
            </w:r>
          </w:p>
        </w:tc>
        <w:tc>
          <w:tcPr>
            <w:tcW w:w="4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Style w:val="15"/>
                <w:rFonts w:hint="default" w:ascii="Times New Roman" w:hAnsi="Times New Roman" w:cs="Times New Roman"/>
                <w:lang w:bidi="ar"/>
              </w:rPr>
            </w:pPr>
            <w:r>
              <w:rPr>
                <w:rFonts w:ascii="Times New Roman" w:hAnsi="Times New Roman" w:cs="Times New Roman"/>
                <w:color w:val="000000"/>
                <w:kern w:val="0"/>
                <w:sz w:val="18"/>
                <w:szCs w:val="18"/>
              </w:rPr>
              <w:t>工厂宜</w:t>
            </w:r>
            <w:r>
              <w:rPr>
                <w:rFonts w:hint="eastAsia" w:ascii="Times New Roman" w:hAnsi="Times New Roman" w:cs="Times New Roman"/>
                <w:color w:val="000000"/>
                <w:sz w:val="18"/>
                <w:szCs w:val="18"/>
              </w:rPr>
              <w:t>按</w:t>
            </w:r>
            <w:r>
              <w:rPr>
                <w:rFonts w:ascii="Times New Roman" w:hAnsi="Times New Roman" w:cs="Times New Roman"/>
                <w:color w:val="000000"/>
                <w:kern w:val="0"/>
                <w:sz w:val="18"/>
                <w:szCs w:val="18"/>
              </w:rPr>
              <w:t>GB/T 36000、GB/T 36001定期编制并发布社会责任报告，报告内容包括但不限于企业在环境保护、节能及能源结构优化、资源综合利用、温室气体排放、产品绿色设计等方面的社会责任业绩</w:t>
            </w:r>
            <w:r>
              <w:rPr>
                <w:rFonts w:hint="eastAsia" w:ascii="Times New Roman" w:hAnsi="Times New Roman" w:cs="Times New Roman"/>
                <w:color w:val="000000"/>
                <w:sz w:val="18"/>
                <w:szCs w:val="18"/>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leftChars="0" w:hanging="425" w:firstLineChars="0"/>
              <w:jc w:val="left"/>
              <w:textAlignment w:val="center"/>
              <w:rPr>
                <w:rFonts w:cs="Times New Roman"/>
                <w:color w:val="000000"/>
                <w:sz w:val="18"/>
                <w:szCs w:val="18"/>
              </w:rPr>
            </w:pPr>
          </w:p>
        </w:tc>
        <w:tc>
          <w:tcPr>
            <w:tcW w:w="6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ascii="Times New Roman" w:hAnsi="Times New Roman" w:cs="Times New Roman"/>
                <w:color w:val="000000"/>
                <w:kern w:val="0"/>
                <w:sz w:val="18"/>
                <w:szCs w:val="18"/>
              </w:rPr>
              <w:t>工厂定期向公众披露其社会责任报告。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kern w:val="0"/>
                <w:sz w:val="18"/>
                <w:szCs w:val="18"/>
                <w:lang w:bidi="ar"/>
              </w:rPr>
            </w:pPr>
            <w:r>
              <w:rPr>
                <w:rFonts w:hint="eastAsia" w:cs="Times New Roman"/>
                <w:color w:val="000000"/>
                <w:kern w:val="0"/>
                <w:sz w:val="18"/>
                <w:szCs w:val="18"/>
                <w:lang w:bidi="ar"/>
              </w:rPr>
              <w:t>3</w:t>
            </w:r>
          </w:p>
        </w:tc>
      </w:tr>
      <w:tr>
        <w:tblPrEx>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信息化和工业化融合管理</w:t>
            </w:r>
            <w:r>
              <w:rPr>
                <w:rStyle w:val="13"/>
                <w:rFonts w:hint="default" w:ascii="Times New Roman" w:hAnsi="Times New Roman" w:cs="Times New Roman"/>
                <w:lang w:bidi="ar"/>
              </w:rPr>
              <w:t>体系</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工厂宜建立、实施并保持信息化和工业化融合管理体系，满足</w:t>
            </w:r>
            <w:r>
              <w:rPr>
                <w:rStyle w:val="14"/>
                <w:lang w:bidi="ar"/>
              </w:rPr>
              <w:t>GB/T 23001</w:t>
            </w:r>
            <w:r>
              <w:rPr>
                <w:rStyle w:val="13"/>
                <w:rFonts w:hint="default" w:ascii="Times New Roman" w:hAnsi="Times New Roman" w:cs="Times New Roman"/>
                <w:lang w:bidi="ar"/>
              </w:rPr>
              <w:t>的要求。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工厂应通过管理体系文件、内部评审报告、管理评审报告等材料证明其建立起完整的信息化和工业化融合管理体系。</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2</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w:t>
            </w:r>
            <w:r>
              <w:rPr>
                <w:rStyle w:val="13"/>
                <w:rFonts w:hint="default" w:ascii="Times New Roman" w:hAnsi="Times New Roman" w:cs="Times New Roman"/>
                <w:lang w:bidi="ar"/>
              </w:rPr>
              <w:t>与资源投入</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能源投入</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工厂应按相关标准开展节能管理，提高能源利用效率。</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工厂应建立完善的节能管理制度，建立节能目标并对结果进行评估。</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15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工厂宜不断优化用能结构，利用清洁能源、可再生能源等代替传统化石能源。提高清洁能源、可再生能源使用率。</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充分利用太阳能、风能等可再生能源或清洁能源。</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资源投入</w:t>
            </w:r>
          </w:p>
        </w:tc>
        <w:tc>
          <w:tcPr>
            <w:tcW w:w="1729" w:type="pct"/>
            <w:gridSpan w:val="2"/>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 xml:space="preserve">取水定额符合国家和地方相关标准的规定。并按照 </w:t>
            </w:r>
            <w:r>
              <w:rPr>
                <w:rStyle w:val="16"/>
                <w:lang w:bidi="ar"/>
              </w:rPr>
              <w:t>GB/T 7119</w:t>
            </w:r>
            <w:r>
              <w:rPr>
                <w:rStyle w:val="15"/>
                <w:rFonts w:hint="default" w:ascii="Times New Roman" w:hAnsi="Times New Roman" w:cs="Times New Roman"/>
                <w:lang w:bidi="ar"/>
              </w:rPr>
              <w:t>的要求开展节水评价工作。</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单位产品用水量符合国家、地方相关标准的有关规定。工厂定期自行开展或委托第三方开展节水评价工作。</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sz w:val="18"/>
                <w:szCs w:val="18"/>
              </w:rPr>
            </w:pPr>
            <w:r>
              <w:rPr>
                <w:kern w:val="0"/>
                <w:sz w:val="18"/>
                <w:szCs w:val="18"/>
              </w:rPr>
              <w:t>增加石材边角料、粉料和石材矿山尾矿的使用比例</w:t>
            </w:r>
            <w:r>
              <w:rPr>
                <w:rFonts w:hint="eastAsia"/>
                <w:kern w:val="0"/>
                <w:sz w:val="18"/>
                <w:szCs w:val="18"/>
              </w:rPr>
              <w:t>到8</w:t>
            </w:r>
            <w:r>
              <w:rPr>
                <w:kern w:val="0"/>
                <w:sz w:val="18"/>
                <w:szCs w:val="18"/>
              </w:rPr>
              <w:t>5</w:t>
            </w:r>
            <w:r>
              <w:rPr>
                <w:rFonts w:hint="eastAsia"/>
                <w:kern w:val="0"/>
                <w:sz w:val="18"/>
                <w:szCs w:val="18"/>
              </w:rPr>
              <w:t>%以上</w:t>
            </w:r>
            <w:r>
              <w:rPr>
                <w:kern w:val="0"/>
                <w:sz w:val="18"/>
                <w:szCs w:val="18"/>
              </w:rPr>
              <w:t>，提高石材废料利用效率。</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产品</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产品</w:t>
            </w:r>
            <w:r>
              <w:rPr>
                <w:rStyle w:val="13"/>
                <w:rFonts w:hint="default" w:ascii="Times New Roman" w:hAnsi="Times New Roman" w:cs="Times New Roman"/>
                <w:lang w:bidi="ar"/>
              </w:rPr>
              <w:t>特性</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工厂所生产的</w:t>
            </w:r>
            <w:r>
              <w:rPr>
                <w:rStyle w:val="15"/>
                <w:rFonts w:cs="Times New Roman"/>
                <w:lang w:bidi="ar"/>
              </w:rPr>
              <w:t>合成</w:t>
            </w:r>
            <w:r>
              <w:rPr>
                <w:rStyle w:val="15"/>
                <w:rFonts w:hint="default" w:ascii="Times New Roman" w:hAnsi="Times New Roman" w:cs="Times New Roman"/>
                <w:lang w:bidi="ar"/>
              </w:rPr>
              <w:t>石材质量应符合相应标准的要求。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hint="eastAsia" w:cs="Times New Roman"/>
                <w:color w:val="000000"/>
                <w:kern w:val="0"/>
                <w:sz w:val="18"/>
                <w:szCs w:val="18"/>
                <w:lang w:bidi="ar"/>
              </w:rPr>
              <w:t>提供满足产品标准的型式检验报告</w:t>
            </w:r>
            <w:r>
              <w:rPr>
                <w:rFonts w:cs="Times New Roman"/>
                <w:color w:val="000000"/>
                <w:kern w:val="0"/>
                <w:sz w:val="18"/>
                <w:szCs w:val="18"/>
                <w:lang w:bidi="ar"/>
              </w:rPr>
              <w:t>。</w:t>
            </w:r>
            <w:r>
              <w:rPr>
                <w:rFonts w:hint="eastAsia" w:cs="Times New Roman"/>
                <w:color w:val="000000"/>
                <w:kern w:val="0"/>
                <w:sz w:val="18"/>
                <w:szCs w:val="18"/>
                <w:lang w:bidi="ar"/>
              </w:rPr>
              <w:t>合成石材</w:t>
            </w:r>
            <w:r>
              <w:rPr>
                <w:rFonts w:hint="eastAsia"/>
                <w:sz w:val="18"/>
                <w:szCs w:val="18"/>
              </w:rPr>
              <w:t>A级品率达9</w:t>
            </w:r>
            <w:r>
              <w:rPr>
                <w:sz w:val="18"/>
                <w:szCs w:val="18"/>
              </w:rPr>
              <w:t>5</w:t>
            </w:r>
            <w:r>
              <w:rPr>
                <w:rFonts w:hint="eastAsia"/>
                <w:sz w:val="18"/>
                <w:szCs w:val="18"/>
              </w:rPr>
              <w:t>%以上</w:t>
            </w:r>
            <w:r>
              <w:rPr>
                <w:kern w:val="0"/>
                <w:sz w:val="18"/>
                <w:szCs w:val="18"/>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hint="eastAsia" w:eastAsia="宋体" w:cs="Times New Roman"/>
                <w:color w:val="000000"/>
                <w:sz w:val="18"/>
                <w:szCs w:val="18"/>
                <w:lang w:eastAsia="zh-CN"/>
              </w:rPr>
            </w:pPr>
            <w:r>
              <w:rPr>
                <w:rFonts w:hint="eastAsia" w:cs="Times New Roman"/>
                <w:color w:val="000000"/>
                <w:kern w:val="0"/>
                <w:sz w:val="18"/>
                <w:szCs w:val="18"/>
                <w:lang w:val="en-US" w:eastAsia="zh-CN" w:bidi="ar"/>
              </w:rPr>
              <w:t>产品通过</w:t>
            </w:r>
            <w:r>
              <w:rPr>
                <w:rFonts w:cs="Times New Roman"/>
                <w:color w:val="000000"/>
                <w:kern w:val="0"/>
                <w:sz w:val="18"/>
                <w:szCs w:val="18"/>
                <w:lang w:bidi="ar"/>
              </w:rPr>
              <w:t>绿色建材产品认证</w:t>
            </w:r>
            <w:r>
              <w:rPr>
                <w:rFonts w:hint="eastAsia" w:cs="Times New Roman"/>
                <w:color w:val="000000"/>
                <w:kern w:val="0"/>
                <w:sz w:val="18"/>
                <w:szCs w:val="18"/>
                <w:lang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产品获得绿色建材产品认证，按不同星级得分。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sz w:val="18"/>
                <w:szCs w:val="18"/>
              </w:rPr>
              <w:t>45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生态设计</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按</w:t>
            </w:r>
            <w:r>
              <w:rPr>
                <w:rStyle w:val="14"/>
                <w:lang w:bidi="ar"/>
              </w:rPr>
              <w:t>GB/T 24256</w:t>
            </w:r>
            <w:r>
              <w:rPr>
                <w:rStyle w:val="13"/>
                <w:rFonts w:hint="default" w:ascii="Times New Roman" w:hAnsi="Times New Roman" w:cs="Times New Roman"/>
                <w:lang w:bidi="ar"/>
              </w:rPr>
              <w:t>等国家和行业标准对生产的产品进行生态设计，并按</w:t>
            </w:r>
            <w:r>
              <w:rPr>
                <w:rStyle w:val="14"/>
                <w:lang w:bidi="ar"/>
              </w:rPr>
              <w:t>GB/T 32161</w:t>
            </w:r>
            <w:r>
              <w:rPr>
                <w:rStyle w:val="13"/>
                <w:rFonts w:hint="default" w:ascii="Times New Roman" w:hAnsi="Times New Roman" w:cs="Times New Roman"/>
                <w:lang w:bidi="ar"/>
              </w:rPr>
              <w:t>等国家和行业标准对产品进行生态设计评价。</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工厂对所生产的产品进行生态设计，形成生命周期评价或III型环境声明报告。</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减碳</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工厂采用适用的标准或规范对</w:t>
            </w:r>
            <w:r>
              <w:rPr>
                <w:rStyle w:val="13"/>
                <w:rFonts w:cs="Times New Roman"/>
                <w:lang w:bidi="ar"/>
              </w:rPr>
              <w:t>合成</w:t>
            </w:r>
            <w:r>
              <w:rPr>
                <w:rStyle w:val="13"/>
                <w:rFonts w:hint="default" w:ascii="Times New Roman" w:hAnsi="Times New Roman" w:cs="Times New Roman"/>
                <w:lang w:bidi="ar"/>
              </w:rPr>
              <w:t>石材进行碳足迹核算或核查，核查结果宜对外公布，并利用核查结果对其产品的碳足迹进行改善。</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开展碳足迹核算或核查</w:t>
            </w:r>
            <w:r>
              <w:rPr>
                <w:rStyle w:val="15"/>
                <w:rFonts w:hint="default" w:ascii="Times New Roman" w:hAnsi="Times New Roman" w:cs="Times New Roman"/>
                <w:lang w:bidi="ar"/>
              </w:rPr>
              <w:t>，形成结论并对外公布。</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环境排放</w:t>
            </w: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大气污染物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颗粒物等主要大气污染物排放应进行集中收尘。大气污染物有组织排放和无组织排放分别符合相应标准及环境影响评价批复要求。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通过监测记录、检测报告等材料证明其有组织及无组织大气污染物排放浓度应符合GB 16297、环境影响评价批复以及地方环境保护主管部门要求。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cs="Times New Roman"/>
                <w:color w:val="000000"/>
                <w:sz w:val="18"/>
                <w:szCs w:val="18"/>
                <w:lang w:val="en-US" w:eastAsia="zh-CN"/>
              </w:rPr>
              <w:t>10</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水体污染物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w:t>
            </w:r>
            <w:r>
              <w:rPr>
                <w:rStyle w:val="13"/>
                <w:rFonts w:hint="default" w:ascii="Times New Roman" w:hAnsi="Times New Roman" w:cs="Times New Roman"/>
                <w:lang w:bidi="ar"/>
              </w:rPr>
              <w:t>生产过程中产生的废水应进行处理并合理利用，工厂水污染物排放应符合</w:t>
            </w:r>
            <w:r>
              <w:rPr>
                <w:rStyle w:val="14"/>
                <w:lang w:bidi="ar"/>
              </w:rPr>
              <w:t>GB 8978</w:t>
            </w:r>
            <w:r>
              <w:rPr>
                <w:rStyle w:val="13"/>
                <w:rFonts w:hint="default" w:ascii="Times New Roman" w:hAnsi="Times New Roman" w:cs="Times New Roman"/>
                <w:lang w:bidi="ar"/>
              </w:rPr>
              <w:t>及环境影响评价批复的要求。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工厂通过检测报告、处理记录、处置说明等材料证明其按要求对生产废水及生活污水进行管理与处置，满足达标排放要求。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cs="Times New Roman"/>
                <w:color w:val="000000"/>
                <w:kern w:val="0"/>
                <w:sz w:val="18"/>
                <w:szCs w:val="18"/>
                <w:lang w:val="en-US" w:eastAsia="zh-CN" w:bidi="ar"/>
              </w:rPr>
              <w:t>10</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固体废物</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工厂应按相关标准及要求管理和处置其生产过程中产生的一般工业固体废物和危险废物。</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工厂记录一般工业固体废物和危险废物的产生量、综合利用量、处置量、储存量。一般工业固体废物包括但不限于</w:t>
            </w:r>
            <w:r>
              <w:rPr>
                <w:rStyle w:val="13"/>
                <w:rFonts w:hint="default" w:ascii="Times New Roman" w:hAnsi="Times New Roman" w:cs="Times New Roman"/>
                <w:lang w:bidi="ar"/>
              </w:rPr>
              <w:t>碎料、沉淀污泥、包装废物、用于收尘的废滤袋等。危险废物包括但不限于废机油、废胶粘剂桶等。</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cs="Times New Roman"/>
                <w:color w:val="000000"/>
                <w:kern w:val="0"/>
                <w:sz w:val="18"/>
                <w:szCs w:val="18"/>
                <w:lang w:val="en-US" w:eastAsia="zh-CN" w:bidi="ar"/>
              </w:rPr>
              <w:t>10</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噪声</w:t>
            </w:r>
            <w:r>
              <w:rPr>
                <w:rStyle w:val="13"/>
                <w:rFonts w:hint="default" w:ascii="Times New Roman" w:hAnsi="Times New Roman" w:cs="Times New Roman"/>
                <w:lang w:bidi="ar"/>
              </w:rPr>
              <w:t>及振动</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工厂的厂界噪声应符合</w:t>
            </w:r>
            <w:r>
              <w:rPr>
                <w:rStyle w:val="14"/>
                <w:lang w:bidi="ar"/>
              </w:rPr>
              <w:t>GB 12348</w:t>
            </w:r>
            <w:r>
              <w:rPr>
                <w:rStyle w:val="13"/>
                <w:rFonts w:hint="default" w:ascii="Times New Roman" w:hAnsi="Times New Roman" w:cs="Times New Roman"/>
                <w:lang w:bidi="ar"/>
              </w:rPr>
              <w:t>、</w:t>
            </w:r>
            <w:r>
              <w:rPr>
                <w:rStyle w:val="14"/>
                <w:lang w:bidi="ar"/>
              </w:rPr>
              <w:t>GB3096</w:t>
            </w:r>
            <w:r>
              <w:rPr>
                <w:rStyle w:val="13"/>
                <w:rFonts w:hint="default" w:ascii="Times New Roman" w:hAnsi="Times New Roman" w:cs="Times New Roman"/>
                <w:lang w:bidi="ar"/>
              </w:rPr>
              <w:t>及环境影响评价批复的要求。</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工厂通过噪声检测报告等材料证明其厂界噪声满足</w:t>
            </w:r>
            <w:r>
              <w:rPr>
                <w:rStyle w:val="14"/>
                <w:lang w:bidi="ar"/>
              </w:rPr>
              <w:t>GB 12348</w:t>
            </w:r>
            <w:r>
              <w:rPr>
                <w:rStyle w:val="13"/>
                <w:rFonts w:hint="default" w:ascii="Times New Roman" w:hAnsi="Times New Roman" w:cs="Times New Roman"/>
                <w:lang w:bidi="ar"/>
              </w:rPr>
              <w:t>、</w:t>
            </w:r>
            <w:r>
              <w:rPr>
                <w:rStyle w:val="14"/>
                <w:lang w:bidi="ar"/>
              </w:rPr>
              <w:t>GB3096</w:t>
            </w:r>
            <w:r>
              <w:rPr>
                <w:rStyle w:val="13"/>
                <w:rFonts w:hint="default" w:ascii="Times New Roman" w:hAnsi="Times New Roman" w:cs="Times New Roman"/>
                <w:lang w:bidi="ar"/>
              </w:rPr>
              <w:t>、环境影响评价批复以及地方环境保护主管部门要求。</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hint="default" w:eastAsia="宋体" w:cs="Times New Roman"/>
                <w:color w:val="000000"/>
                <w:sz w:val="18"/>
                <w:szCs w:val="18"/>
                <w:lang w:val="en-US" w:eastAsia="zh-CN"/>
              </w:rPr>
            </w:pPr>
            <w:r>
              <w:rPr>
                <w:rFonts w:hint="eastAsia" w:cs="Times New Roman"/>
                <w:color w:val="000000"/>
                <w:kern w:val="0"/>
                <w:sz w:val="18"/>
                <w:szCs w:val="18"/>
                <w:lang w:val="en-US" w:eastAsia="zh-CN" w:bidi="ar"/>
              </w:rPr>
              <w:t>10</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温室气体</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工厂应按</w:t>
            </w:r>
            <w:r>
              <w:rPr>
                <w:rStyle w:val="14"/>
                <w:lang w:bidi="ar"/>
              </w:rPr>
              <w:t>GB/T 32150</w:t>
            </w:r>
            <w:r>
              <w:rPr>
                <w:rStyle w:val="13"/>
                <w:rFonts w:hint="default" w:ascii="Times New Roman" w:hAnsi="Times New Roman" w:cs="Times New Roman"/>
                <w:lang w:bidi="ar"/>
              </w:rPr>
              <w:t>或其他相关要求对其厂界范围内的温室气体排放进行核算和报告。</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工厂定期开展温室气体核算，并形成温室气体排放报告。</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3</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工厂宜进行温室气体第三方核查，核查结果对外公布。</w:t>
            </w:r>
          </w:p>
        </w:tc>
        <w:tc>
          <w:tcPr>
            <w:tcW w:w="208"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工厂委托有资质的第三方对厂界范围内的温室气体排放进行核查，并形成核查报告。</w:t>
            </w:r>
          </w:p>
        </w:tc>
        <w:tc>
          <w:tcPr>
            <w:tcW w:w="207" w:type="pct"/>
            <w:tcBorders>
              <w:top w:val="single" w:color="000000" w:sz="4" w:space="0"/>
              <w:left w:val="single" w:color="000000" w:sz="4" w:space="0"/>
              <w:bottom w:val="single" w:color="000000" w:sz="4" w:space="0"/>
              <w:right w:val="single" w:color="000000" w:sz="4" w:space="0"/>
            </w:tcBorders>
            <w:shd w:val="clear" w:color="auto" w:fill="DAE3F3" w:themeFill="accent5" w:themeFillTint="32"/>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2</w:t>
            </w:r>
          </w:p>
        </w:tc>
      </w:tr>
      <w:tr>
        <w:tblPrEx>
          <w:tblCellMar>
            <w:top w:w="0" w:type="dxa"/>
            <w:left w:w="108" w:type="dxa"/>
            <w:bottom w:w="0" w:type="dxa"/>
            <w:right w:w="108" w:type="dxa"/>
          </w:tblCellMar>
        </w:tblPrEx>
        <w:trPr>
          <w:trHeight w:val="270"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综合绩效</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用地集约化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工厂的单位用地面积产值不低于行业平均水平。</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工厂的单位用地面积产值不低于</w:t>
            </w:r>
            <w:r>
              <w:rPr>
                <w:rStyle w:val="16"/>
                <w:lang w:bidi="ar"/>
              </w:rPr>
              <w:t>3000</w:t>
            </w:r>
            <w:r>
              <w:rPr>
                <w:rStyle w:val="15"/>
                <w:rFonts w:hint="default" w:ascii="Times New Roman" w:hAnsi="Times New Roman" w:cs="Times New Roman"/>
                <w:lang w:bidi="ar"/>
              </w:rPr>
              <w:t>万元</w:t>
            </w:r>
            <w:r>
              <w:rPr>
                <w:rStyle w:val="16"/>
                <w:lang w:bidi="ar"/>
              </w:rPr>
              <w:t>/</w:t>
            </w:r>
            <w:r>
              <w:rPr>
                <w:rStyle w:val="15"/>
                <w:rFonts w:hint="default" w:ascii="Times New Roman" w:hAnsi="Times New Roman" w:cs="Times New Roman"/>
                <w:lang w:bidi="ar"/>
              </w:rPr>
              <w:t>公顷，按公式（</w:t>
            </w:r>
            <w:r>
              <w:rPr>
                <w:rStyle w:val="16"/>
                <w:lang w:bidi="ar"/>
              </w:rPr>
              <w:t>C.</w:t>
            </w:r>
            <w:r>
              <w:rPr>
                <w:rStyle w:val="16"/>
                <w:rFonts w:hint="eastAsia"/>
                <w:lang w:bidi="ar"/>
              </w:rPr>
              <w:t>1</w:t>
            </w:r>
            <w:r>
              <w:rPr>
                <w:rStyle w:val="15"/>
                <w:rFonts w:hint="default" w:ascii="Times New Roman" w:hAnsi="Times New Roman" w:cs="Times New Roman"/>
                <w:lang w:bidi="ar"/>
              </w:rPr>
              <w:t>）计算。</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原料无害化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kern w:val="0"/>
                <w:sz w:val="18"/>
                <w:szCs w:val="18"/>
              </w:rPr>
              <w:t>工厂</w:t>
            </w:r>
            <w:r>
              <w:rPr>
                <w:rFonts w:hint="eastAsia"/>
                <w:kern w:val="0"/>
                <w:sz w:val="18"/>
                <w:szCs w:val="18"/>
              </w:rPr>
              <w:t>识别其</w:t>
            </w:r>
            <w:r>
              <w:rPr>
                <w:kern w:val="0"/>
                <w:sz w:val="18"/>
                <w:szCs w:val="18"/>
              </w:rPr>
              <w:t>生产过程中使用</w:t>
            </w:r>
            <w:r>
              <w:rPr>
                <w:rFonts w:hint="eastAsia"/>
                <w:kern w:val="0"/>
                <w:sz w:val="18"/>
                <w:szCs w:val="18"/>
              </w:rPr>
              <w:t>的</w:t>
            </w:r>
            <w:r>
              <w:rPr>
                <w:kern w:val="0"/>
                <w:sz w:val="18"/>
                <w:szCs w:val="18"/>
              </w:rPr>
              <w:t>绿色物料。</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生产过程中使用了绿色物料</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生产洁净化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单位产品主要污染物产生量不高于行业平均水平。</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Style w:val="15"/>
                <w:rFonts w:hint="default" w:ascii="Times New Roman" w:hAnsi="Times New Roman" w:cs="Times New Roman"/>
                <w:lang w:bidi="ar"/>
              </w:rPr>
            </w:pPr>
            <w:r>
              <w:rPr>
                <w:rFonts w:hint="eastAsia"/>
                <w:kern w:val="0"/>
                <w:sz w:val="18"/>
                <w:szCs w:val="18"/>
              </w:rPr>
              <w:t>合成石材工厂：</w:t>
            </w:r>
            <w:r>
              <w:rPr>
                <w:kern w:val="0"/>
                <w:sz w:val="18"/>
                <w:szCs w:val="18"/>
              </w:rPr>
              <w:t>大气污染物经处理后有组织颗粒物排放浓度不高于20mg/m</w:t>
            </w:r>
            <w:r>
              <w:rPr>
                <w:kern w:val="0"/>
                <w:sz w:val="18"/>
                <w:szCs w:val="18"/>
                <w:vertAlign w:val="superscript"/>
              </w:rPr>
              <w:t>3</w:t>
            </w:r>
            <w:r>
              <w:rPr>
                <w:color w:val="000000"/>
                <w:kern w:val="0"/>
                <w:sz w:val="18"/>
                <w:szCs w:val="18"/>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废物资源化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工厂生产过程产生工业固体废物综合利用率高于行业平均值。</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对</w:t>
            </w:r>
            <w:r>
              <w:rPr>
                <w:rStyle w:val="13"/>
                <w:rFonts w:hint="default" w:cs="Times New Roman"/>
                <w:lang w:bidi="ar"/>
              </w:rPr>
              <w:t>产品</w:t>
            </w:r>
            <w:r>
              <w:rPr>
                <w:rStyle w:val="13"/>
                <w:rFonts w:hint="default" w:ascii="Times New Roman" w:hAnsi="Times New Roman" w:cs="Times New Roman"/>
                <w:lang w:bidi="ar"/>
              </w:rPr>
              <w:t>生产过程中各类设施产生的工业固体废物有效识别，并分类统计，综合利用率不低于</w:t>
            </w:r>
            <w:r>
              <w:rPr>
                <w:rStyle w:val="14"/>
                <w:lang w:bidi="ar"/>
              </w:rPr>
              <w:t>80%</w:t>
            </w:r>
            <w:r>
              <w:rPr>
                <w:rStyle w:val="13"/>
                <w:rFonts w:hint="default" w:ascii="Times New Roman" w:hAnsi="Times New Roman" w:cs="Times New Roman"/>
                <w:lang w:bidi="ar"/>
              </w:rPr>
              <w:t>，按公式（</w:t>
            </w:r>
            <w:r>
              <w:rPr>
                <w:rStyle w:val="14"/>
                <w:lang w:bidi="ar"/>
              </w:rPr>
              <w:t>C.</w:t>
            </w:r>
            <w:r>
              <w:rPr>
                <w:rStyle w:val="14"/>
                <w:rFonts w:hint="eastAsia"/>
                <w:lang w:bidi="ar"/>
              </w:rPr>
              <w:t>2</w:t>
            </w:r>
            <w:r>
              <w:rPr>
                <w:rStyle w:val="13"/>
                <w:rFonts w:hint="default" w:ascii="Times New Roman" w:hAnsi="Times New Roman" w:cs="Times New Roman"/>
                <w:lang w:bidi="ar"/>
              </w:rPr>
              <w:t>）计算。</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3"/>
                <w:rFonts w:hint="default" w:ascii="Times New Roman" w:hAnsi="Times New Roman" w:cs="Times New Roman"/>
                <w:lang w:bidi="ar"/>
              </w:rPr>
              <w:t>评价边界内生产过程中各类设施产生废水回用率高于行业平均值。</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Fonts w:cs="Times New Roman"/>
                <w:color w:val="000000"/>
                <w:sz w:val="18"/>
                <w:szCs w:val="18"/>
              </w:rPr>
            </w:pPr>
            <w:r>
              <w:rPr>
                <w:kern w:val="0"/>
                <w:sz w:val="18"/>
                <w:szCs w:val="18"/>
              </w:rPr>
              <w:t>生产过程废水、生活废水进行分类计量、回收、处理。生产废水经处理后的回用率不低于100%，按公式（C.</w:t>
            </w:r>
            <w:r>
              <w:rPr>
                <w:rFonts w:hint="eastAsia"/>
                <w:kern w:val="0"/>
                <w:sz w:val="18"/>
                <w:szCs w:val="18"/>
              </w:rPr>
              <w:t>3</w:t>
            </w:r>
            <w:r>
              <w:rPr>
                <w:kern w:val="0"/>
                <w:sz w:val="18"/>
                <w:szCs w:val="18"/>
              </w:rPr>
              <w:t>）计算。</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r>
        <w:tblPrEx>
          <w:tblCellMar>
            <w:top w:w="0" w:type="dxa"/>
            <w:left w:w="108" w:type="dxa"/>
            <w:bottom w:w="0" w:type="dxa"/>
            <w:right w:w="108" w:type="dxa"/>
          </w:tblCellMar>
        </w:tblPrEx>
        <w:trPr>
          <w:trHeight w:val="270"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cs="Times New Roman"/>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能源低碳化</w:t>
            </w:r>
          </w:p>
        </w:tc>
        <w:tc>
          <w:tcPr>
            <w:tcW w:w="1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Style w:val="15"/>
                <w:rFonts w:hint="default" w:ascii="Times New Roman" w:hAnsi="Times New Roman" w:cs="Times New Roman"/>
                <w:lang w:bidi="ar"/>
              </w:rPr>
              <w:t>单位产品的综合能耗符合相关标准规定的行业准入值或同等水平要求。</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pacing w:line="240" w:lineRule="auto"/>
              <w:ind w:left="425" w:hanging="425" w:firstLineChars="0"/>
              <w:jc w:val="left"/>
              <w:textAlignment w:val="center"/>
              <w:rPr>
                <w:rFonts w:cs="Times New Roman"/>
                <w:color w:val="000000"/>
                <w:sz w:val="18"/>
                <w:szCs w:val="18"/>
              </w:rPr>
            </w:pPr>
          </w:p>
        </w:tc>
        <w:tc>
          <w:tcPr>
            <w:tcW w:w="2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left"/>
              <w:textAlignment w:val="center"/>
              <w:rPr>
                <w:rStyle w:val="13"/>
                <w:rFonts w:hint="default" w:ascii="Times New Roman" w:hAnsi="Times New Roman" w:cs="Times New Roman"/>
                <w:lang w:bidi="ar"/>
              </w:rPr>
            </w:pPr>
            <w:r>
              <w:rPr>
                <w:kern w:val="0"/>
                <w:sz w:val="18"/>
                <w:szCs w:val="18"/>
              </w:rPr>
              <w:t>单位产品综合能耗不高于2.19 kgce/m</w:t>
            </w:r>
            <w:r>
              <w:rPr>
                <w:kern w:val="0"/>
                <w:sz w:val="18"/>
                <w:szCs w:val="18"/>
                <w:vertAlign w:val="superscript"/>
              </w:rPr>
              <w:t>2</w:t>
            </w:r>
            <w:r>
              <w:rPr>
                <w:kern w:val="0"/>
                <w:sz w:val="18"/>
                <w:szCs w:val="18"/>
              </w:rPr>
              <w:t>，按公式（C.</w:t>
            </w:r>
            <w:r>
              <w:rPr>
                <w:rFonts w:hint="eastAsia"/>
                <w:kern w:val="0"/>
                <w:sz w:val="18"/>
                <w:szCs w:val="18"/>
              </w:rPr>
              <w:t>4</w:t>
            </w:r>
            <w:r>
              <w:rPr>
                <w:kern w:val="0"/>
                <w:sz w:val="18"/>
                <w:szCs w:val="18"/>
              </w:rPr>
              <w:t>）计算。</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cs="Times New Roman"/>
                <w:color w:val="000000"/>
                <w:sz w:val="18"/>
                <w:szCs w:val="18"/>
              </w:rPr>
            </w:pPr>
            <w:r>
              <w:rPr>
                <w:rFonts w:cs="Times New Roman"/>
                <w:color w:val="000000"/>
                <w:kern w:val="0"/>
                <w:sz w:val="18"/>
                <w:szCs w:val="18"/>
                <w:lang w:bidi="ar"/>
              </w:rPr>
              <w:t>5</w:t>
            </w:r>
          </w:p>
        </w:tc>
      </w:tr>
    </w:tbl>
    <w:p>
      <w:pPr>
        <w:spacing w:before="190" w:after="190"/>
        <w:ind w:firstLine="0" w:firstLineChars="0"/>
        <w:jc w:val="center"/>
        <w:rPr>
          <w:rFonts w:eastAsia="黑体"/>
          <w:sz w:val="32"/>
          <w:szCs w:val="32"/>
        </w:rPr>
        <w:sectPr>
          <w:pgSz w:w="16838" w:h="11906" w:orient="landscape"/>
          <w:pgMar w:top="1800" w:right="1440" w:bottom="1800" w:left="1440" w:header="851" w:footer="992" w:gutter="0"/>
          <w:cols w:space="425" w:num="1"/>
          <w:docGrid w:type="lines" w:linePitch="381" w:charSpace="0"/>
        </w:sectPr>
      </w:pPr>
    </w:p>
    <w:p>
      <w:pPr>
        <w:spacing w:before="190" w:after="190"/>
        <w:ind w:firstLine="0" w:firstLineChars="0"/>
        <w:jc w:val="center"/>
        <w:rPr>
          <w:rFonts w:eastAsia="黑体"/>
          <w:sz w:val="21"/>
          <w:szCs w:val="21"/>
        </w:rPr>
      </w:pPr>
      <w:r>
        <w:rPr>
          <w:rFonts w:eastAsia="黑体"/>
          <w:sz w:val="32"/>
          <w:szCs w:val="32"/>
        </w:rPr>
        <w:t>指标计算方法</w:t>
      </w:r>
    </w:p>
    <w:p>
      <w:pPr>
        <w:pStyle w:val="4"/>
        <w:spacing w:before="0" w:line="360" w:lineRule="auto"/>
        <w:ind w:left="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eastAsia="zh-CN"/>
        </w:rPr>
        <w:t>1</w:t>
      </w:r>
      <w:r>
        <w:rPr>
          <w:rFonts w:ascii="Times New Roman" w:hAnsi="Times New Roman" w:eastAsia="黑体" w:cs="Times New Roman"/>
          <w:sz w:val="21"/>
          <w:szCs w:val="21"/>
          <w:lang w:eastAsia="zh-CN"/>
        </w:rPr>
        <w:t xml:space="preserve"> 单位用地面积产值</w:t>
      </w:r>
    </w:p>
    <w:p>
      <w:pPr>
        <w:autoSpaceDE w:val="0"/>
        <w:autoSpaceDN w:val="0"/>
        <w:adjustRightInd w:val="0"/>
        <w:ind w:firstLine="420"/>
        <w:rPr>
          <w:rFonts w:cs="Times New Roman"/>
          <w:color w:val="000000"/>
          <w:sz w:val="21"/>
          <w:szCs w:val="21"/>
        </w:rPr>
      </w:pPr>
      <w:r>
        <w:rPr>
          <w:rFonts w:cs="Times New Roman"/>
          <w:color w:val="000000"/>
          <w:sz w:val="21"/>
          <w:szCs w:val="21"/>
        </w:rPr>
        <w:t>单位用地面积产值为工厂统计期工业总产值与厂区用地面积的比率，按公式（C.</w:t>
      </w:r>
      <w:r>
        <w:rPr>
          <w:rFonts w:hint="eastAsia" w:cs="Times New Roman"/>
          <w:color w:val="000000"/>
          <w:sz w:val="21"/>
          <w:szCs w:val="21"/>
        </w:rPr>
        <w:t>1</w:t>
      </w:r>
      <w:r>
        <w:rPr>
          <w:rFonts w:cs="Times New Roman"/>
          <w:color w:val="000000"/>
          <w:sz w:val="21"/>
          <w:szCs w:val="21"/>
        </w:rPr>
        <w:t>）计算。</w:t>
      </w:r>
    </w:p>
    <w:p>
      <w:pPr>
        <w:wordWrap w:val="0"/>
        <w:autoSpaceDE w:val="0"/>
        <w:autoSpaceDN w:val="0"/>
        <w:adjustRightInd w:val="0"/>
        <w:ind w:firstLine="420"/>
        <w:jc w:val="right"/>
        <w:rPr>
          <w:rFonts w:cs="Times New Roman"/>
          <w:color w:val="000000"/>
          <w:sz w:val="21"/>
          <w:szCs w:val="21"/>
        </w:rPr>
      </w:pPr>
      <m:oMath>
        <m:r>
          <m:rPr/>
          <w:rPr>
            <w:rFonts w:ascii="Cambria Math" w:hAnsi="Cambria Math" w:cs="Times New Roman"/>
            <w:color w:val="000000"/>
            <w:sz w:val="21"/>
            <w:szCs w:val="21"/>
          </w:rPr>
          <m:t>n=</m:t>
        </m:r>
        <m:f>
          <m:fPr>
            <m:ctrlPr>
              <w:rPr>
                <w:rFonts w:ascii="Cambria Math" w:hAnsi="Cambria Math" w:cs="Times New Roman"/>
                <w:i/>
                <w:color w:val="000000"/>
                <w:sz w:val="21"/>
                <w:szCs w:val="21"/>
              </w:rPr>
            </m:ctrlPr>
          </m:fPr>
          <m:num>
            <m:r>
              <m:rPr/>
              <w:rPr>
                <w:rFonts w:ascii="Cambria Math" w:hAnsi="Cambria Math" w:cs="Times New Roman"/>
                <w:color w:val="000000"/>
                <w:sz w:val="21"/>
                <w:szCs w:val="21"/>
              </w:rPr>
              <m:t>N</m:t>
            </m:r>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A</m:t>
                </m:r>
                <m:ctrlPr>
                  <w:rPr>
                    <w:rFonts w:ascii="Cambria Math" w:hAnsi="Cambria Math" w:cs="Times New Roman"/>
                    <w:i/>
                    <w:color w:val="000000"/>
                    <w:sz w:val="21"/>
                    <w:szCs w:val="21"/>
                  </w:rPr>
                </m:ctrlPr>
              </m:e>
              <m:sub>
                <m:r>
                  <m:rPr>
                    <m:sty m:val="p"/>
                  </m:rPr>
                  <w:rPr>
                    <w:rFonts w:ascii="Cambria Math" w:hAnsi="Cambria Math" w:cs="Times New Roman"/>
                    <w:color w:val="000000"/>
                    <w:sz w:val="21"/>
                    <w:szCs w:val="21"/>
                  </w:rPr>
                  <m:t>用地</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oMath>
      <w:r>
        <w:rPr>
          <w:rFonts w:cs="Times New Roman"/>
          <w:sz w:val="21"/>
          <w:szCs w:val="21"/>
        </w:rPr>
        <w:t>…………………………</w:t>
      </w:r>
      <w:r>
        <w:rPr>
          <w:rFonts w:cs="Times New Roman"/>
          <w:color w:val="000000"/>
          <w:sz w:val="21"/>
          <w:szCs w:val="21"/>
        </w:rPr>
        <w:t>（C.</w:t>
      </w:r>
      <w:r>
        <w:rPr>
          <w:rFonts w:hint="eastAsia" w:cs="Times New Roman"/>
          <w:color w:val="000000"/>
          <w:sz w:val="21"/>
          <w:szCs w:val="21"/>
        </w:rPr>
        <w:t>1</w:t>
      </w:r>
      <w:r>
        <w:rPr>
          <w:rFonts w:cs="Times New Roman"/>
          <w:color w:val="000000"/>
          <w:sz w:val="21"/>
          <w:szCs w:val="21"/>
        </w:rPr>
        <w:t>）</w:t>
      </w:r>
    </w:p>
    <w:p>
      <w:pPr>
        <w:autoSpaceDE w:val="0"/>
        <w:autoSpaceDN w:val="0"/>
        <w:adjustRightInd w:val="0"/>
        <w:ind w:firstLine="420"/>
        <w:rPr>
          <w:rFonts w:cs="Times New Roman"/>
          <w:color w:val="000000"/>
          <w:sz w:val="21"/>
          <w:szCs w:val="21"/>
        </w:rPr>
      </w:pPr>
      <w:r>
        <w:rPr>
          <w:rFonts w:cs="Times New Roman"/>
          <w:color w:val="000000"/>
          <w:sz w:val="21"/>
          <w:szCs w:val="21"/>
        </w:rPr>
        <w:t>式中：</w:t>
      </w:r>
    </w:p>
    <w:p>
      <w:pPr>
        <w:autoSpaceDE w:val="0"/>
        <w:autoSpaceDN w:val="0"/>
        <w:adjustRightInd w:val="0"/>
        <w:ind w:firstLine="420"/>
        <w:rPr>
          <w:rFonts w:cs="Times New Roman"/>
          <w:bCs/>
          <w:i/>
          <w:iCs/>
          <w:color w:val="000000"/>
          <w:sz w:val="21"/>
          <w:szCs w:val="21"/>
        </w:rPr>
      </w:pPr>
      <w:r>
        <w:rPr>
          <w:rFonts w:cs="Times New Roman"/>
          <w:bCs/>
          <w:i/>
          <w:iCs/>
          <w:color w:val="000000"/>
          <w:sz w:val="21"/>
          <w:szCs w:val="21"/>
        </w:rPr>
        <w:t>n</w:t>
      </w:r>
      <w:r>
        <w:rPr>
          <w:rFonts w:cs="Times New Roman"/>
          <w:color w:val="000000"/>
          <w:sz w:val="21"/>
          <w:szCs w:val="21"/>
        </w:rPr>
        <w:t>——单位用地面积产值，单位为万元每</w:t>
      </w:r>
      <w:r>
        <w:rPr>
          <w:rFonts w:hint="eastAsia" w:cs="Times New Roman"/>
          <w:color w:val="000000"/>
          <w:sz w:val="21"/>
          <w:szCs w:val="21"/>
        </w:rPr>
        <w:t>公顷</w:t>
      </w:r>
      <w:r>
        <w:rPr>
          <w:rFonts w:cs="Times New Roman"/>
          <w:color w:val="000000"/>
          <w:sz w:val="21"/>
          <w:szCs w:val="21"/>
        </w:rPr>
        <w:t>；</w:t>
      </w:r>
    </w:p>
    <w:p>
      <w:pPr>
        <w:autoSpaceDE w:val="0"/>
        <w:autoSpaceDN w:val="0"/>
        <w:adjustRightInd w:val="0"/>
        <w:ind w:firstLine="420"/>
        <w:rPr>
          <w:rFonts w:cs="Times New Roman"/>
          <w:bCs/>
          <w:i/>
          <w:iCs/>
          <w:color w:val="000000"/>
          <w:sz w:val="21"/>
          <w:szCs w:val="21"/>
        </w:rPr>
      </w:pPr>
      <w:r>
        <w:rPr>
          <w:rFonts w:cs="Times New Roman"/>
          <w:bCs/>
          <w:i/>
          <w:iCs/>
          <w:color w:val="000000"/>
          <w:sz w:val="21"/>
          <w:szCs w:val="21"/>
        </w:rPr>
        <w:t>N</w:t>
      </w:r>
      <w:r>
        <w:rPr>
          <w:rFonts w:cs="Times New Roman"/>
          <w:color w:val="000000"/>
          <w:sz w:val="21"/>
          <w:szCs w:val="21"/>
        </w:rPr>
        <w:t>——工厂工业总产值，单位为万元；</w:t>
      </w:r>
    </w:p>
    <w:p>
      <w:pPr>
        <w:autoSpaceDE w:val="0"/>
        <w:autoSpaceDN w:val="0"/>
        <w:adjustRightInd w:val="0"/>
        <w:ind w:firstLine="420"/>
        <w:rPr>
          <w:rFonts w:cs="Times New Roman"/>
          <w:color w:val="000000"/>
          <w:sz w:val="21"/>
          <w:szCs w:val="21"/>
        </w:rPr>
      </w:pPr>
      <w:r>
        <w:rPr>
          <w:rFonts w:cs="Times New Roman"/>
          <w:bCs/>
          <w:i/>
          <w:iCs/>
          <w:color w:val="000000"/>
          <w:sz w:val="21"/>
          <w:szCs w:val="21"/>
        </w:rPr>
        <w:t>A</w:t>
      </w:r>
      <w:r>
        <w:rPr>
          <w:rFonts w:cs="Times New Roman"/>
          <w:bCs/>
          <w:color w:val="000000"/>
          <w:sz w:val="21"/>
          <w:szCs w:val="21"/>
          <w:vertAlign w:val="subscript"/>
        </w:rPr>
        <w:t>用地</w:t>
      </w:r>
      <w:r>
        <w:rPr>
          <w:rFonts w:cs="Times New Roman"/>
          <w:color w:val="000000"/>
          <w:sz w:val="21"/>
          <w:szCs w:val="21"/>
        </w:rPr>
        <w:t>——</w:t>
      </w:r>
      <w:r>
        <w:rPr>
          <w:rFonts w:cs="Times New Roman"/>
          <w:bCs/>
          <w:color w:val="000000"/>
          <w:sz w:val="21"/>
          <w:szCs w:val="21"/>
        </w:rPr>
        <w:t>工厂用地面积，单位为</w:t>
      </w:r>
      <w:r>
        <w:rPr>
          <w:rFonts w:hint="eastAsia" w:cs="Times New Roman"/>
          <w:bCs/>
          <w:color w:val="000000"/>
          <w:sz w:val="21"/>
          <w:szCs w:val="21"/>
        </w:rPr>
        <w:t>公顷</w:t>
      </w:r>
      <w:r>
        <w:rPr>
          <w:rFonts w:cs="Times New Roman"/>
          <w:bCs/>
          <w:color w:val="000000"/>
          <w:sz w:val="21"/>
          <w:szCs w:val="21"/>
        </w:rPr>
        <w:t>。</w:t>
      </w:r>
    </w:p>
    <w:p>
      <w:pPr>
        <w:pStyle w:val="4"/>
        <w:spacing w:before="0" w:line="360" w:lineRule="auto"/>
        <w:ind w:left="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eastAsia="zh-CN"/>
        </w:rPr>
        <w:t>2</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工业</w:t>
      </w:r>
      <w:r>
        <w:rPr>
          <w:rFonts w:ascii="Times New Roman" w:hAnsi="Times New Roman" w:eastAsia="黑体" w:cs="Times New Roman"/>
          <w:sz w:val="21"/>
          <w:szCs w:val="21"/>
          <w:lang w:eastAsia="zh-CN"/>
        </w:rPr>
        <w:t>固体废物</w:t>
      </w:r>
      <w:r>
        <w:rPr>
          <w:rFonts w:hint="eastAsia" w:ascii="Times New Roman" w:hAnsi="Times New Roman" w:eastAsia="黑体" w:cs="Times New Roman"/>
          <w:sz w:val="21"/>
          <w:szCs w:val="21"/>
          <w:lang w:eastAsia="zh-CN"/>
        </w:rPr>
        <w:t>综合</w:t>
      </w:r>
      <w:r>
        <w:rPr>
          <w:rFonts w:ascii="Times New Roman" w:hAnsi="Times New Roman" w:eastAsia="黑体" w:cs="Times New Roman"/>
          <w:sz w:val="21"/>
          <w:szCs w:val="21"/>
          <w:lang w:eastAsia="zh-CN"/>
        </w:rPr>
        <w:t>利用率</w:t>
      </w:r>
    </w:p>
    <w:p>
      <w:pPr>
        <w:autoSpaceDE w:val="0"/>
        <w:autoSpaceDN w:val="0"/>
        <w:adjustRightInd w:val="0"/>
        <w:ind w:firstLine="420"/>
        <w:rPr>
          <w:rFonts w:cs="Times New Roman"/>
          <w:color w:val="000000"/>
          <w:kern w:val="0"/>
          <w:sz w:val="21"/>
          <w:szCs w:val="21"/>
        </w:rPr>
      </w:pPr>
      <w:r>
        <w:rPr>
          <w:rFonts w:hint="eastAsia" w:cs="Times New Roman"/>
          <w:color w:val="000000"/>
          <w:kern w:val="0"/>
          <w:sz w:val="21"/>
          <w:szCs w:val="21"/>
        </w:rPr>
        <w:t>工业</w:t>
      </w:r>
      <w:r>
        <w:rPr>
          <w:rFonts w:cs="Times New Roman"/>
          <w:color w:val="000000"/>
          <w:kern w:val="0"/>
          <w:sz w:val="21"/>
          <w:szCs w:val="21"/>
        </w:rPr>
        <w:t>固体废物</w:t>
      </w:r>
      <w:r>
        <w:rPr>
          <w:rFonts w:hint="eastAsia" w:cs="Times New Roman"/>
          <w:color w:val="000000"/>
          <w:kern w:val="0"/>
          <w:sz w:val="21"/>
          <w:szCs w:val="21"/>
        </w:rPr>
        <w:t>综合</w:t>
      </w:r>
      <w:r>
        <w:rPr>
          <w:rFonts w:cs="Times New Roman"/>
          <w:color w:val="000000"/>
          <w:kern w:val="0"/>
          <w:sz w:val="21"/>
          <w:szCs w:val="21"/>
        </w:rPr>
        <w:t>利用率按公式</w:t>
      </w:r>
      <w:r>
        <w:rPr>
          <w:rFonts w:cs="Times New Roman"/>
          <w:color w:val="000000"/>
          <w:sz w:val="21"/>
          <w:szCs w:val="21"/>
        </w:rPr>
        <w:t>（C.</w:t>
      </w:r>
      <w:r>
        <w:rPr>
          <w:rFonts w:hint="eastAsia" w:cs="Times New Roman"/>
          <w:color w:val="000000"/>
          <w:sz w:val="21"/>
          <w:szCs w:val="21"/>
        </w:rPr>
        <w:t>2）</w:t>
      </w:r>
      <w:r>
        <w:rPr>
          <w:rFonts w:cs="Times New Roman"/>
          <w:color w:val="000000"/>
          <w:kern w:val="0"/>
          <w:sz w:val="21"/>
          <w:szCs w:val="21"/>
        </w:rPr>
        <w:t>计算。</w:t>
      </w:r>
    </w:p>
    <w:p>
      <w:pPr>
        <w:tabs>
          <w:tab w:val="center" w:pos="4253"/>
          <w:tab w:val="right" w:pos="7938"/>
        </w:tabs>
        <w:ind w:firstLine="424" w:firstLineChars="202"/>
        <w:jc w:val="right"/>
        <w:rPr>
          <w:rFonts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r</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r</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Z</m:t>
            </m:r>
            <m:r>
              <m:rPr/>
              <w:rPr>
                <w:rFonts w:hint="eastAsia"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 xml:space="preserve">×100% </m:t>
        </m:r>
      </m:oMath>
      <w:r>
        <w:rPr>
          <w:rFonts w:cs="Times New Roman"/>
          <w:color w:val="000000"/>
          <w:sz w:val="21"/>
          <w:szCs w:val="21"/>
        </w:rPr>
        <w:t xml:space="preserve">   …………………………（C.</w:t>
      </w:r>
      <w:r>
        <w:rPr>
          <w:rFonts w:hint="eastAsia" w:cs="Times New Roman"/>
          <w:color w:val="000000"/>
          <w:sz w:val="21"/>
          <w:szCs w:val="21"/>
        </w:rPr>
        <w:t>2）</w:t>
      </w:r>
    </w:p>
    <w:p>
      <w:pPr>
        <w:autoSpaceDE w:val="0"/>
        <w:autoSpaceDN w:val="0"/>
        <w:adjustRightInd w:val="0"/>
        <w:ind w:firstLine="424" w:firstLineChars="202"/>
        <w:rPr>
          <w:rFonts w:cs="Times New Roman"/>
          <w:color w:val="000000"/>
          <w:kern w:val="0"/>
          <w:sz w:val="21"/>
          <w:szCs w:val="21"/>
        </w:rPr>
      </w:pPr>
      <w:r>
        <w:rPr>
          <w:rFonts w:cs="Times New Roman"/>
          <w:color w:val="000000"/>
          <w:kern w:val="0"/>
          <w:sz w:val="21"/>
          <w:szCs w:val="21"/>
        </w:rPr>
        <w:t>式中：</w:t>
      </w:r>
    </w:p>
    <w:p>
      <w:pPr>
        <w:autoSpaceDE w:val="0"/>
        <w:autoSpaceDN w:val="0"/>
        <w:adjustRightInd w:val="0"/>
        <w:ind w:firstLine="420"/>
        <w:rPr>
          <w:rFonts w:cs="Times New Roman"/>
          <w:color w:val="000000"/>
          <w:kern w:val="0"/>
          <w:sz w:val="21"/>
          <w:szCs w:val="21"/>
        </w:rPr>
      </w:pPr>
      <w:r>
        <w:rPr>
          <w:rFonts w:cs="Times New Roman"/>
          <w:i/>
          <w:iCs/>
          <w:color w:val="000000"/>
          <w:kern w:val="0"/>
          <w:sz w:val="21"/>
          <w:szCs w:val="21"/>
        </w:rPr>
        <w:t>K</w:t>
      </w:r>
      <w:r>
        <w:rPr>
          <w:rFonts w:cs="Times New Roman"/>
          <w:color w:val="000000"/>
          <w:kern w:val="0"/>
          <w:sz w:val="21"/>
          <w:szCs w:val="21"/>
          <w:vertAlign w:val="subscript"/>
        </w:rPr>
        <w:t>r</w:t>
      </w:r>
      <w:r>
        <w:rPr>
          <w:rFonts w:cs="Times New Roman"/>
          <w:color w:val="000000"/>
          <w:kern w:val="0"/>
          <w:sz w:val="21"/>
          <w:szCs w:val="21"/>
        </w:rPr>
        <w:t>——</w:t>
      </w:r>
      <w:r>
        <w:rPr>
          <w:rFonts w:hint="eastAsia" w:cs="Times New Roman"/>
          <w:color w:val="000000"/>
          <w:kern w:val="0"/>
          <w:sz w:val="21"/>
          <w:szCs w:val="21"/>
        </w:rPr>
        <w:t>工业</w:t>
      </w:r>
      <w:r>
        <w:rPr>
          <w:rFonts w:cs="Times New Roman"/>
          <w:color w:val="000000"/>
          <w:kern w:val="0"/>
          <w:sz w:val="21"/>
          <w:szCs w:val="21"/>
        </w:rPr>
        <w:t>固体废物</w:t>
      </w:r>
      <w:r>
        <w:rPr>
          <w:rFonts w:hint="eastAsia" w:cs="Times New Roman"/>
          <w:color w:val="000000"/>
          <w:kern w:val="0"/>
          <w:sz w:val="21"/>
          <w:szCs w:val="21"/>
        </w:rPr>
        <w:t>综合</w:t>
      </w:r>
      <w:r>
        <w:rPr>
          <w:rFonts w:cs="Times New Roman"/>
          <w:color w:val="000000"/>
          <w:kern w:val="0"/>
          <w:sz w:val="21"/>
          <w:szCs w:val="21"/>
        </w:rPr>
        <w:t>利用率；</w:t>
      </w:r>
    </w:p>
    <w:p>
      <w:pPr>
        <w:autoSpaceDE w:val="0"/>
        <w:autoSpaceDN w:val="0"/>
        <w:adjustRightInd w:val="0"/>
        <w:ind w:firstLine="420"/>
        <w:rPr>
          <w:rFonts w:cs="Times New Roman"/>
          <w:color w:val="000000" w:themeColor="text1"/>
          <w:kern w:val="0"/>
          <w:sz w:val="21"/>
          <w:szCs w:val="21"/>
          <w14:textFill>
            <w14:solidFill>
              <w14:schemeClr w14:val="tx1"/>
            </w14:solidFill>
          </w14:textFill>
        </w:rPr>
      </w:pPr>
      <w:r>
        <w:rPr>
          <w:rFonts w:cs="Times New Roman"/>
          <w:i/>
          <w:iCs/>
          <w:color w:val="000000" w:themeColor="text1"/>
          <w:kern w:val="0"/>
          <w:sz w:val="21"/>
          <w:szCs w:val="21"/>
          <w14:textFill>
            <w14:solidFill>
              <w14:schemeClr w14:val="tx1"/>
            </w14:solidFill>
          </w14:textFill>
        </w:rPr>
        <w:t>Z</w:t>
      </w:r>
      <w:r>
        <w:rPr>
          <w:rFonts w:cs="Times New Roman"/>
          <w:color w:val="000000" w:themeColor="text1"/>
          <w:kern w:val="0"/>
          <w:sz w:val="21"/>
          <w:szCs w:val="21"/>
          <w:vertAlign w:val="subscript"/>
          <w14:textFill>
            <w14:solidFill>
              <w14:schemeClr w14:val="tx1"/>
            </w14:solidFill>
          </w14:textFill>
        </w:rPr>
        <w:t>r</w:t>
      </w:r>
      <w:r>
        <w:rPr>
          <w:rFonts w:cs="Times New Roman"/>
          <w:color w:val="000000" w:themeColor="text1"/>
          <w:kern w:val="0"/>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统计期内，工业固体废物回收利用量（不含外购）</w:t>
      </w:r>
      <w:r>
        <w:rPr>
          <w:rFonts w:cs="Times New Roman"/>
          <w:color w:val="000000" w:themeColor="text1"/>
          <w:kern w:val="0"/>
          <w:sz w:val="21"/>
          <w:szCs w:val="21"/>
          <w14:textFill>
            <w14:solidFill>
              <w14:schemeClr w14:val="tx1"/>
            </w14:solidFill>
          </w14:textFill>
        </w:rPr>
        <w:t>，单位为吨（t）；</w:t>
      </w:r>
    </w:p>
    <w:p>
      <w:pPr>
        <w:ind w:firstLine="420"/>
        <w:rPr>
          <w:rFonts w:cs="Times New Roman"/>
          <w:color w:val="000000" w:themeColor="text1"/>
          <w:kern w:val="0"/>
          <w:sz w:val="21"/>
          <w:szCs w:val="21"/>
          <w14:textFill>
            <w14:solidFill>
              <w14:schemeClr w14:val="tx1"/>
            </w14:solidFill>
          </w14:textFill>
        </w:rPr>
      </w:pPr>
      <w:r>
        <w:rPr>
          <w:rFonts w:cs="Times New Roman"/>
          <w:i/>
          <w:iCs/>
          <w:color w:val="000000" w:themeColor="text1"/>
          <w:kern w:val="0"/>
          <w:sz w:val="21"/>
          <w:szCs w:val="21"/>
          <w14:textFill>
            <w14:solidFill>
              <w14:schemeClr w14:val="tx1"/>
            </w14:solidFill>
          </w14:textFill>
        </w:rPr>
        <w:t>Z</w:t>
      </w:r>
      <w:r>
        <w:rPr>
          <w:rFonts w:cs="Times New Roman"/>
          <w:color w:val="000000" w:themeColor="text1"/>
          <w:kern w:val="0"/>
          <w:sz w:val="21"/>
          <w:szCs w:val="21"/>
          <w14:textFill>
            <w14:solidFill>
              <w14:schemeClr w14:val="tx1"/>
            </w14:solidFill>
          </w14:textFill>
        </w:rPr>
        <w:t>——统计期内，工业固体废物产生量，单位为吨（t）</w:t>
      </w:r>
      <w:r>
        <w:rPr>
          <w:rFonts w:hint="eastAsia" w:cs="Times New Roman"/>
          <w:color w:val="000000" w:themeColor="text1"/>
          <w:kern w:val="0"/>
          <w:sz w:val="21"/>
          <w:szCs w:val="21"/>
          <w14:textFill>
            <w14:solidFill>
              <w14:schemeClr w14:val="tx1"/>
            </w14:solidFill>
          </w14:textFill>
        </w:rPr>
        <w:t>；</w:t>
      </w:r>
    </w:p>
    <w:p>
      <w:pPr>
        <w:ind w:firstLine="420"/>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Z</w:t>
      </w:r>
      <w:r>
        <w:rPr>
          <w:rFonts w:cs="Times New Roman"/>
          <w:color w:val="000000" w:themeColor="text1"/>
          <w:kern w:val="0"/>
          <w:sz w:val="21"/>
          <w:szCs w:val="21"/>
          <w:vertAlign w:val="subscript"/>
          <w14:textFill>
            <w14:solidFill>
              <w14:schemeClr w14:val="tx1"/>
            </w14:solidFill>
          </w14:textFill>
        </w:rPr>
        <w:t>w</w:t>
      </w:r>
      <w:r>
        <w:rPr>
          <w:rFonts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14:textFill>
            <w14:solidFill>
              <w14:schemeClr w14:val="tx1"/>
            </w14:solidFill>
          </w14:textFill>
        </w:rPr>
        <w:t>综合利用往年储存量，单位为吨（t）。</w:t>
      </w:r>
    </w:p>
    <w:p>
      <w:pPr>
        <w:pStyle w:val="4"/>
        <w:spacing w:before="0" w:line="360" w:lineRule="auto"/>
        <w:ind w:left="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eastAsia="zh-CN"/>
        </w:rPr>
        <w:t>3</w:t>
      </w:r>
      <w:r>
        <w:rPr>
          <w:rFonts w:ascii="Times New Roman" w:hAnsi="Times New Roman" w:eastAsia="黑体" w:cs="Times New Roman"/>
          <w:sz w:val="21"/>
          <w:szCs w:val="21"/>
          <w:lang w:eastAsia="zh-CN"/>
        </w:rPr>
        <w:t xml:space="preserve"> 废水回用率</w:t>
      </w:r>
    </w:p>
    <w:p>
      <w:pPr>
        <w:autoSpaceDE w:val="0"/>
        <w:autoSpaceDN w:val="0"/>
        <w:adjustRightInd w:val="0"/>
        <w:ind w:firstLine="420"/>
        <w:rPr>
          <w:rFonts w:cs="Times New Roman"/>
          <w:color w:val="000000"/>
          <w:kern w:val="0"/>
          <w:sz w:val="21"/>
          <w:szCs w:val="21"/>
        </w:rPr>
      </w:pPr>
      <w:r>
        <w:rPr>
          <w:rFonts w:cs="Times New Roman"/>
          <w:color w:val="000000"/>
          <w:kern w:val="0"/>
          <w:sz w:val="21"/>
          <w:szCs w:val="21"/>
        </w:rPr>
        <w:t>废水回用率按公式</w:t>
      </w:r>
      <w:r>
        <w:rPr>
          <w:rFonts w:cs="Times New Roman"/>
          <w:color w:val="000000"/>
          <w:sz w:val="21"/>
          <w:szCs w:val="21"/>
        </w:rPr>
        <w:t>（C.</w:t>
      </w:r>
      <w:r>
        <w:rPr>
          <w:rFonts w:hint="eastAsia" w:cs="Times New Roman"/>
          <w:color w:val="000000"/>
          <w:sz w:val="21"/>
          <w:szCs w:val="21"/>
        </w:rPr>
        <w:t>3）</w:t>
      </w:r>
      <w:r>
        <w:rPr>
          <w:rFonts w:cs="Times New Roman"/>
          <w:color w:val="000000"/>
          <w:kern w:val="0"/>
          <w:sz w:val="21"/>
          <w:szCs w:val="21"/>
        </w:rPr>
        <w:t>计算。</w:t>
      </w:r>
    </w:p>
    <w:p>
      <w:pPr>
        <w:tabs>
          <w:tab w:val="center" w:pos="4253"/>
          <w:tab w:val="right" w:pos="7938"/>
        </w:tabs>
        <w:ind w:firstLine="424" w:firstLineChars="202"/>
        <w:jc w:val="right"/>
        <w:rPr>
          <w:rFonts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w</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d</m:t>
                </m:r>
                <m:ctrlPr>
                  <w:rPr>
                    <w:rFonts w:ascii="Cambria Math" w:hAnsi="Cambria Math" w:cs="Times New Roman"/>
                    <w:i/>
                    <w:color w:val="000000"/>
                    <w:sz w:val="21"/>
                    <w:szCs w:val="21"/>
                  </w:rPr>
                </m:ctrlPr>
              </m:sub>
            </m:sSub>
            <m:r>
              <m:rPr/>
              <w:rPr>
                <w:rFonts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×100%</m:t>
        </m:r>
      </m:oMath>
      <w:r>
        <w:rPr>
          <w:rFonts w:cs="Times New Roman"/>
          <w:color w:val="000000"/>
          <w:sz w:val="21"/>
          <w:szCs w:val="21"/>
        </w:rPr>
        <w:t xml:space="preserve">   …………………………（C.</w:t>
      </w:r>
      <w:r>
        <w:rPr>
          <w:rFonts w:hint="eastAsia" w:cs="Times New Roman"/>
          <w:color w:val="000000"/>
          <w:sz w:val="21"/>
          <w:szCs w:val="21"/>
        </w:rPr>
        <w:t>3）</w:t>
      </w:r>
    </w:p>
    <w:p>
      <w:pPr>
        <w:autoSpaceDE w:val="0"/>
        <w:autoSpaceDN w:val="0"/>
        <w:adjustRightInd w:val="0"/>
        <w:ind w:firstLine="424" w:firstLineChars="202"/>
        <w:rPr>
          <w:rFonts w:cs="Times New Roman"/>
          <w:color w:val="000000"/>
          <w:kern w:val="0"/>
          <w:sz w:val="21"/>
          <w:szCs w:val="21"/>
        </w:rPr>
      </w:pPr>
      <w:r>
        <w:rPr>
          <w:rFonts w:cs="Times New Roman"/>
          <w:color w:val="000000"/>
          <w:kern w:val="0"/>
          <w:sz w:val="21"/>
          <w:szCs w:val="21"/>
        </w:rPr>
        <w:t>式中：</w:t>
      </w:r>
    </w:p>
    <w:p>
      <w:pPr>
        <w:autoSpaceDE w:val="0"/>
        <w:autoSpaceDN w:val="0"/>
        <w:adjustRightInd w:val="0"/>
        <w:ind w:firstLine="420"/>
        <w:rPr>
          <w:rFonts w:cs="Times New Roman"/>
          <w:color w:val="000000"/>
          <w:kern w:val="0"/>
          <w:sz w:val="21"/>
          <w:szCs w:val="21"/>
        </w:rPr>
      </w:pPr>
      <w:r>
        <w:rPr>
          <w:rFonts w:cs="Times New Roman"/>
          <w:i/>
          <w:iCs/>
          <w:color w:val="000000"/>
          <w:kern w:val="0"/>
          <w:sz w:val="21"/>
          <w:szCs w:val="21"/>
        </w:rPr>
        <w:t>K</w:t>
      </w:r>
      <w:r>
        <w:rPr>
          <w:rFonts w:cs="Times New Roman"/>
          <w:color w:val="000000"/>
          <w:kern w:val="0"/>
          <w:sz w:val="21"/>
          <w:szCs w:val="21"/>
          <w:vertAlign w:val="subscript"/>
        </w:rPr>
        <w:t>w</w:t>
      </w:r>
      <w:r>
        <w:rPr>
          <w:rFonts w:cs="Times New Roman"/>
          <w:color w:val="000000"/>
          <w:kern w:val="0"/>
          <w:sz w:val="21"/>
          <w:szCs w:val="21"/>
        </w:rPr>
        <w:t>——废水回用率；</w:t>
      </w:r>
    </w:p>
    <w:p>
      <w:pPr>
        <w:ind w:firstLine="420"/>
        <w:rPr>
          <w:rFonts w:cs="Times New Roman"/>
          <w:color w:val="000000"/>
          <w:kern w:val="0"/>
          <w:sz w:val="21"/>
          <w:szCs w:val="21"/>
        </w:rPr>
      </w:pPr>
      <w:r>
        <w:rPr>
          <w:rFonts w:cs="Times New Roman"/>
          <w:i/>
          <w:iCs/>
          <w:color w:val="000000"/>
          <w:kern w:val="0"/>
          <w:sz w:val="21"/>
          <w:szCs w:val="21"/>
        </w:rPr>
        <w:t>V</w:t>
      </w:r>
      <w:r>
        <w:rPr>
          <w:rFonts w:cs="Times New Roman"/>
          <w:color w:val="000000"/>
          <w:kern w:val="0"/>
          <w:sz w:val="21"/>
          <w:szCs w:val="21"/>
          <w:vertAlign w:val="subscript"/>
        </w:rPr>
        <w:t>w</w:t>
      </w:r>
      <w:r>
        <w:rPr>
          <w:rFonts w:cs="Times New Roman"/>
          <w:color w:val="000000"/>
          <w:kern w:val="0"/>
          <w:sz w:val="21"/>
          <w:szCs w:val="21"/>
        </w:rPr>
        <w:t>——统计期内，工厂对外排废水处理后的回用水量，单位为立方米（m</w:t>
      </w:r>
      <w:r>
        <w:rPr>
          <w:rFonts w:cs="Times New Roman"/>
          <w:color w:val="000000"/>
          <w:kern w:val="0"/>
          <w:sz w:val="21"/>
          <w:szCs w:val="21"/>
          <w:vertAlign w:val="superscript"/>
        </w:rPr>
        <w:t>3</w:t>
      </w:r>
      <w:r>
        <w:rPr>
          <w:rFonts w:cs="Times New Roman"/>
          <w:color w:val="000000"/>
          <w:kern w:val="0"/>
          <w:sz w:val="21"/>
          <w:szCs w:val="21"/>
        </w:rPr>
        <w:t>）;</w:t>
      </w:r>
    </w:p>
    <w:p>
      <w:pPr>
        <w:ind w:firstLine="420"/>
        <w:rPr>
          <w:rFonts w:cs="Times New Roman"/>
          <w:color w:val="000000"/>
          <w:kern w:val="0"/>
          <w:sz w:val="21"/>
          <w:szCs w:val="21"/>
        </w:rPr>
      </w:pPr>
      <w:r>
        <w:rPr>
          <w:rFonts w:cs="Times New Roman"/>
          <w:i/>
          <w:iCs/>
          <w:color w:val="000000"/>
          <w:kern w:val="0"/>
          <w:sz w:val="21"/>
          <w:szCs w:val="21"/>
        </w:rPr>
        <w:t>V</w:t>
      </w:r>
      <w:r>
        <w:rPr>
          <w:rFonts w:cs="Times New Roman"/>
          <w:color w:val="000000"/>
          <w:kern w:val="0"/>
          <w:sz w:val="21"/>
          <w:szCs w:val="21"/>
          <w:vertAlign w:val="subscript"/>
        </w:rPr>
        <w:t>d</w:t>
      </w:r>
      <w:r>
        <w:rPr>
          <w:rFonts w:cs="Times New Roman"/>
          <w:color w:val="000000"/>
          <w:kern w:val="0"/>
          <w:sz w:val="21"/>
          <w:szCs w:val="21"/>
        </w:rPr>
        <w:t>——统计期内，</w:t>
      </w:r>
      <w:r>
        <w:rPr>
          <w:rFonts w:hint="eastAsia" w:cs="Times New Roman"/>
          <w:color w:val="000000"/>
          <w:kern w:val="0"/>
          <w:sz w:val="21"/>
          <w:szCs w:val="21"/>
        </w:rPr>
        <w:t>工厂</w:t>
      </w:r>
      <w:r>
        <w:rPr>
          <w:rFonts w:cs="Times New Roman"/>
          <w:color w:val="000000"/>
          <w:kern w:val="0"/>
          <w:sz w:val="21"/>
          <w:szCs w:val="21"/>
        </w:rPr>
        <w:t>向外排放的废水量</w:t>
      </w:r>
      <w:r>
        <w:rPr>
          <w:rFonts w:hint="eastAsia" w:cs="Times New Roman"/>
          <w:color w:val="000000"/>
          <w:kern w:val="0"/>
          <w:sz w:val="21"/>
          <w:szCs w:val="21"/>
        </w:rPr>
        <w:t>（不含回用水量）</w:t>
      </w:r>
      <w:r>
        <w:rPr>
          <w:rFonts w:cs="Times New Roman"/>
          <w:color w:val="000000"/>
          <w:kern w:val="0"/>
          <w:sz w:val="21"/>
          <w:szCs w:val="21"/>
        </w:rPr>
        <w:t>，单位为立方米（m</w:t>
      </w:r>
      <w:r>
        <w:rPr>
          <w:rFonts w:cs="Times New Roman"/>
          <w:color w:val="000000"/>
          <w:kern w:val="0"/>
          <w:sz w:val="21"/>
          <w:szCs w:val="21"/>
          <w:vertAlign w:val="superscript"/>
        </w:rPr>
        <w:t>3</w:t>
      </w:r>
      <w:r>
        <w:rPr>
          <w:rFonts w:cs="Times New Roman"/>
          <w:color w:val="000000"/>
          <w:kern w:val="0"/>
          <w:sz w:val="21"/>
          <w:szCs w:val="21"/>
        </w:rPr>
        <w:t>）。</w:t>
      </w:r>
    </w:p>
    <w:p>
      <w:pPr>
        <w:pStyle w:val="4"/>
        <w:spacing w:before="156" w:beforeLines="50" w:after="156" w:afterLines="50" w:line="360" w:lineRule="auto"/>
        <w:ind w:left="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eastAsia="zh-CN"/>
        </w:rPr>
        <w:t>4</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单位产品综合能耗</w:t>
      </w:r>
    </w:p>
    <w:p>
      <w:pPr>
        <w:autoSpaceDE w:val="0"/>
        <w:autoSpaceDN w:val="0"/>
        <w:adjustRightInd w:val="0"/>
        <w:ind w:firstLine="420"/>
        <w:rPr>
          <w:rFonts w:cs="Times New Roman"/>
          <w:color w:val="000000"/>
          <w:kern w:val="0"/>
          <w:sz w:val="21"/>
          <w:szCs w:val="21"/>
        </w:rPr>
      </w:pPr>
      <w:r>
        <w:rPr>
          <w:rFonts w:cs="Times New Roman"/>
          <w:color w:val="000000"/>
          <w:kern w:val="0"/>
          <w:sz w:val="21"/>
          <w:szCs w:val="21"/>
        </w:rPr>
        <w:t>单位产品综合能耗按公式</w:t>
      </w:r>
      <w:r>
        <w:rPr>
          <w:rFonts w:cs="Times New Roman"/>
          <w:color w:val="000000"/>
          <w:sz w:val="21"/>
          <w:szCs w:val="21"/>
        </w:rPr>
        <w:t>（C.</w:t>
      </w:r>
      <w:r>
        <w:rPr>
          <w:rFonts w:hint="eastAsia" w:cs="Times New Roman"/>
          <w:color w:val="000000"/>
          <w:sz w:val="21"/>
          <w:szCs w:val="21"/>
        </w:rPr>
        <w:t>4）</w:t>
      </w:r>
      <w:r>
        <w:rPr>
          <w:rFonts w:cs="Times New Roman"/>
          <w:color w:val="000000"/>
          <w:kern w:val="0"/>
          <w:sz w:val="21"/>
          <w:szCs w:val="21"/>
        </w:rPr>
        <w:t>计算。</w:t>
      </w:r>
    </w:p>
    <w:p>
      <w:pPr>
        <w:tabs>
          <w:tab w:val="center" w:pos="4253"/>
          <w:tab w:val="right" w:pos="7938"/>
        </w:tabs>
        <w:ind w:firstLine="567" w:firstLineChars="270"/>
        <w:jc w:val="right"/>
        <w:rPr>
          <w:rFonts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color w:val="000000"/>
                <w:sz w:val="21"/>
                <w:szCs w:val="21"/>
              </w:rPr>
            </m:ctrlPr>
          </m:e>
          <m:sub>
            <m:r>
              <m:rPr/>
              <w:rPr>
                <w:rFonts w:ascii="Cambria Math" w:hAnsi="Cambria Math" w:cs="Times New Roman"/>
                <w:color w:val="000000"/>
                <w:sz w:val="21"/>
                <w:szCs w:val="21"/>
              </w:rPr>
              <m:t>ui</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nary>
          <m:naryPr>
            <m:chr m:val="∑"/>
            <m:limLoc m:val="undOvr"/>
            <m:subHide m:val="1"/>
            <m:supHide m:val="1"/>
            <m:ctrlPr>
              <w:rPr>
                <w:rFonts w:ascii="Cambria Math" w:hAnsi="Cambria Math" w:cs="Times New Roman"/>
                <w:i/>
                <w:color w:val="000000"/>
                <w:sz w:val="21"/>
                <w:szCs w:val="21"/>
              </w:rPr>
            </m:ctrlPr>
          </m:naryPr>
          <m:sub>
            <m:ctrlPr>
              <w:rPr>
                <w:rFonts w:ascii="Cambria Math" w:hAnsi="Cambria Math" w:cs="Times New Roman"/>
                <w:i/>
                <w:color w:val="000000"/>
                <w:sz w:val="21"/>
                <w:szCs w:val="21"/>
              </w:rPr>
            </m:ctrlPr>
          </m:sub>
          <m:sup>
            <m:ctrlPr>
              <w:rPr>
                <w:rFonts w:ascii="Cambria Math" w:hAnsi="Cambria Math" w:cs="Times New Roman"/>
                <w:i/>
                <w:color w:val="000000"/>
                <w:sz w:val="21"/>
                <w:szCs w:val="21"/>
              </w:rPr>
            </m:ctrlPr>
          </m:sup>
          <m:e>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i/>
                        <w:color w:val="000000"/>
                        <w:sz w:val="21"/>
                        <w:szCs w:val="21"/>
                      </w:rPr>
                    </m:ctrlPr>
                  </m:e>
                  <m:sub>
                    <m:r>
                      <m:rPr/>
                      <w:rPr>
                        <w:rFonts w:ascii="Cambria Math" w:hAnsi="Cambria Math" w:cs="Times New Roman"/>
                        <w:color w:val="000000"/>
                        <w:sz w:val="21"/>
                        <w:szCs w:val="21"/>
                      </w:rPr>
                      <m:t>i</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Q</m:t>
                </m:r>
                <m:ctrlPr>
                  <w:rPr>
                    <w:rFonts w:ascii="Cambria Math" w:hAnsi="Cambria Math" w:cs="Times New Roman"/>
                    <w:i/>
                    <w:color w:val="000000"/>
                    <w:sz w:val="21"/>
                    <w:szCs w:val="21"/>
                  </w:rPr>
                </m:ctrlPr>
              </m:den>
            </m:f>
            <m:ctrlPr>
              <w:rPr>
                <w:rFonts w:ascii="Cambria Math" w:hAnsi="Cambria Math" w:cs="Times New Roman"/>
                <w:i/>
                <w:color w:val="000000"/>
                <w:sz w:val="21"/>
                <w:szCs w:val="21"/>
              </w:rPr>
            </m:ctrlPr>
          </m:e>
        </m:nary>
      </m:oMath>
      <w:r>
        <w:rPr>
          <w:rFonts w:cs="Times New Roman"/>
          <w:color w:val="000000"/>
          <w:sz w:val="21"/>
          <w:szCs w:val="21"/>
        </w:rPr>
        <w:t xml:space="preserve">    …………………………（C.</w:t>
      </w:r>
      <w:r>
        <w:rPr>
          <w:rFonts w:hint="eastAsia" w:cs="Times New Roman"/>
          <w:color w:val="000000"/>
          <w:sz w:val="21"/>
          <w:szCs w:val="21"/>
        </w:rPr>
        <w:t>4）</w:t>
      </w:r>
    </w:p>
    <w:p>
      <w:pPr>
        <w:autoSpaceDE w:val="0"/>
        <w:autoSpaceDN w:val="0"/>
        <w:adjustRightInd w:val="0"/>
        <w:ind w:firstLine="424" w:firstLineChars="202"/>
        <w:rPr>
          <w:rFonts w:cs="Times New Roman"/>
          <w:color w:val="000000"/>
          <w:kern w:val="0"/>
          <w:sz w:val="21"/>
          <w:szCs w:val="21"/>
        </w:rPr>
      </w:pPr>
      <w:r>
        <w:rPr>
          <w:rFonts w:cs="Times New Roman"/>
          <w:color w:val="000000"/>
          <w:kern w:val="0"/>
          <w:sz w:val="21"/>
          <w:szCs w:val="21"/>
        </w:rPr>
        <w:t>式中：</w:t>
      </w:r>
    </w:p>
    <w:p>
      <w:pPr>
        <w:autoSpaceDE w:val="0"/>
        <w:autoSpaceDN w:val="0"/>
        <w:adjustRightInd w:val="0"/>
        <w:ind w:firstLine="420"/>
        <w:rPr>
          <w:rFonts w:cs="Times New Roman"/>
          <w:color w:val="000000"/>
          <w:kern w:val="0"/>
          <w:sz w:val="21"/>
          <w:szCs w:val="21"/>
        </w:rPr>
      </w:pPr>
      <w:r>
        <w:rPr>
          <w:rFonts w:cs="Times New Roman"/>
          <w:i/>
          <w:iCs/>
          <w:color w:val="000000"/>
          <w:kern w:val="0"/>
          <w:sz w:val="21"/>
          <w:szCs w:val="21"/>
        </w:rPr>
        <w:t>E</w:t>
      </w:r>
      <w:r>
        <w:rPr>
          <w:rFonts w:cs="Times New Roman"/>
          <w:color w:val="000000"/>
          <w:kern w:val="0"/>
          <w:sz w:val="21"/>
          <w:szCs w:val="21"/>
          <w:vertAlign w:val="subscript"/>
        </w:rPr>
        <w:t>ui</w:t>
      </w:r>
      <w:r>
        <w:rPr>
          <w:rFonts w:cs="Times New Roman"/>
          <w:color w:val="000000"/>
          <w:kern w:val="0"/>
          <w:sz w:val="21"/>
          <w:szCs w:val="21"/>
        </w:rPr>
        <w:t>——单位产品综合能耗，单位为</w:t>
      </w:r>
      <w:r>
        <w:rPr>
          <w:rFonts w:hint="eastAsia" w:cs="Times New Roman"/>
          <w:color w:val="000000"/>
          <w:kern w:val="0"/>
          <w:sz w:val="21"/>
          <w:szCs w:val="21"/>
        </w:rPr>
        <w:t>千克</w:t>
      </w:r>
      <w:r>
        <w:rPr>
          <w:rFonts w:cs="Times New Roman"/>
          <w:color w:val="000000"/>
          <w:kern w:val="0"/>
          <w:sz w:val="21"/>
          <w:szCs w:val="21"/>
        </w:rPr>
        <w:t>标准煤每</w:t>
      </w:r>
      <w:r>
        <w:rPr>
          <w:rFonts w:hint="eastAsia" w:cs="Times New Roman"/>
          <w:color w:val="000000"/>
          <w:kern w:val="0"/>
          <w:sz w:val="21"/>
          <w:szCs w:val="21"/>
        </w:rPr>
        <w:t>平方米</w:t>
      </w:r>
      <w:r>
        <w:rPr>
          <w:rFonts w:cs="Times New Roman"/>
          <w:color w:val="000000"/>
          <w:kern w:val="0"/>
          <w:sz w:val="21"/>
          <w:szCs w:val="21"/>
        </w:rPr>
        <w:t>（kgce/m</w:t>
      </w:r>
      <w:r>
        <w:rPr>
          <w:rFonts w:cs="Times New Roman"/>
          <w:color w:val="000000"/>
          <w:kern w:val="0"/>
          <w:sz w:val="21"/>
          <w:szCs w:val="21"/>
          <w:vertAlign w:val="superscript"/>
        </w:rPr>
        <w:t>2</w:t>
      </w:r>
      <w:r>
        <w:rPr>
          <w:rFonts w:cs="Times New Roman"/>
          <w:color w:val="000000"/>
          <w:kern w:val="0"/>
          <w:sz w:val="21"/>
          <w:szCs w:val="21"/>
        </w:rPr>
        <w:t>）；</w:t>
      </w:r>
    </w:p>
    <w:p>
      <w:pPr>
        <w:autoSpaceDE w:val="0"/>
        <w:autoSpaceDN w:val="0"/>
        <w:adjustRightInd w:val="0"/>
        <w:ind w:firstLine="420"/>
        <w:rPr>
          <w:rFonts w:cs="Times New Roman"/>
          <w:color w:val="000000"/>
          <w:kern w:val="0"/>
          <w:sz w:val="21"/>
          <w:szCs w:val="21"/>
        </w:rPr>
      </w:pPr>
      <w:r>
        <w:rPr>
          <w:rFonts w:cs="Times New Roman"/>
          <w:i/>
          <w:iCs/>
          <w:color w:val="000000"/>
          <w:kern w:val="0"/>
          <w:sz w:val="21"/>
          <w:szCs w:val="21"/>
        </w:rPr>
        <w:t>E</w:t>
      </w:r>
      <w:r>
        <w:rPr>
          <w:rFonts w:cs="Times New Roman"/>
          <w:color w:val="000000"/>
          <w:kern w:val="0"/>
          <w:sz w:val="21"/>
          <w:szCs w:val="21"/>
          <w:vertAlign w:val="subscript"/>
        </w:rPr>
        <w:t>i</w:t>
      </w:r>
      <w:r>
        <w:rPr>
          <w:rFonts w:cs="Times New Roman"/>
          <w:color w:val="000000"/>
          <w:kern w:val="0"/>
          <w:sz w:val="21"/>
          <w:szCs w:val="21"/>
        </w:rPr>
        <w:t>——统计期内，</w:t>
      </w:r>
      <w:r>
        <w:rPr>
          <w:rFonts w:hint="eastAsia" w:cs="Times New Roman"/>
          <w:color w:val="000000"/>
          <w:kern w:val="0"/>
          <w:sz w:val="21"/>
          <w:szCs w:val="21"/>
        </w:rPr>
        <w:t>工厂实际消耗的各种能源实物量，即主要生产系统、辅助生产系统和附属生产系统的综合能耗，单位为千克标准煤（kg</w:t>
      </w:r>
      <w:r>
        <w:rPr>
          <w:rFonts w:cs="Times New Roman"/>
          <w:color w:val="000000"/>
          <w:kern w:val="0"/>
          <w:sz w:val="21"/>
          <w:szCs w:val="21"/>
        </w:rPr>
        <w:t>ce</w:t>
      </w:r>
      <w:r>
        <w:rPr>
          <w:rFonts w:hint="eastAsia" w:cs="Times New Roman"/>
          <w:color w:val="000000"/>
          <w:kern w:val="0"/>
          <w:sz w:val="21"/>
          <w:szCs w:val="21"/>
        </w:rPr>
        <w:t>）</w:t>
      </w:r>
      <w:r>
        <w:rPr>
          <w:rFonts w:cs="Times New Roman"/>
          <w:color w:val="000000"/>
          <w:kern w:val="0"/>
          <w:sz w:val="21"/>
          <w:szCs w:val="21"/>
        </w:rPr>
        <w:t>；</w:t>
      </w:r>
    </w:p>
    <w:p>
      <w:pPr>
        <w:autoSpaceDE w:val="0"/>
        <w:autoSpaceDN w:val="0"/>
        <w:adjustRightInd w:val="0"/>
        <w:ind w:firstLine="420"/>
        <w:rPr>
          <w:rFonts w:cs="Times New Roman"/>
          <w:color w:val="000000"/>
          <w:kern w:val="0"/>
          <w:sz w:val="21"/>
          <w:szCs w:val="21"/>
        </w:rPr>
      </w:pPr>
      <w:r>
        <w:rPr>
          <w:rFonts w:cs="Times New Roman"/>
          <w:iCs/>
          <w:color w:val="000000"/>
          <w:kern w:val="0"/>
          <w:sz w:val="21"/>
          <w:szCs w:val="21"/>
        </w:rPr>
        <w:t>Q——统计期内的合格产品量</w:t>
      </w:r>
      <w:r>
        <w:rPr>
          <w:rFonts w:hint="eastAsia" w:cs="Times New Roman"/>
          <w:iCs/>
          <w:color w:val="000000"/>
          <w:kern w:val="0"/>
          <w:sz w:val="21"/>
          <w:szCs w:val="21"/>
        </w:rPr>
        <w:t>（折算成平</w:t>
      </w:r>
      <w:r>
        <w:rPr>
          <w:rFonts w:cs="Times New Roman"/>
          <w:iCs/>
          <w:color w:val="000000"/>
          <w:kern w:val="0"/>
          <w:sz w:val="21"/>
          <w:szCs w:val="21"/>
        </w:rPr>
        <w:t>方米</w:t>
      </w:r>
      <w:r>
        <w:rPr>
          <w:rFonts w:hint="eastAsia" w:cs="Times New Roman"/>
          <w:iCs/>
          <w:color w:val="000000"/>
          <w:kern w:val="0"/>
          <w:sz w:val="21"/>
          <w:szCs w:val="21"/>
        </w:rPr>
        <w:t>）</w:t>
      </w:r>
      <w:r>
        <w:rPr>
          <w:rFonts w:cs="Times New Roman"/>
          <w:iCs/>
          <w:color w:val="000000"/>
          <w:kern w:val="0"/>
          <w:sz w:val="21"/>
          <w:szCs w:val="21"/>
        </w:rPr>
        <w:t>，单位为</w:t>
      </w:r>
      <w:r>
        <w:rPr>
          <w:rFonts w:hint="eastAsia" w:cs="Times New Roman"/>
          <w:iCs/>
          <w:color w:val="000000"/>
          <w:kern w:val="0"/>
          <w:sz w:val="21"/>
          <w:szCs w:val="21"/>
        </w:rPr>
        <w:t>平</w:t>
      </w:r>
      <w:r>
        <w:rPr>
          <w:rFonts w:cs="Times New Roman"/>
          <w:iCs/>
          <w:color w:val="000000"/>
          <w:kern w:val="0"/>
          <w:sz w:val="21"/>
          <w:szCs w:val="21"/>
        </w:rPr>
        <w:t>方米（m</w:t>
      </w:r>
      <w:r>
        <w:rPr>
          <w:rFonts w:cs="Times New Roman"/>
          <w:iCs/>
          <w:color w:val="000000"/>
          <w:kern w:val="0"/>
          <w:sz w:val="21"/>
          <w:szCs w:val="21"/>
          <w:vertAlign w:val="superscript"/>
        </w:rPr>
        <w:t>2</w:t>
      </w:r>
      <w:r>
        <w:rPr>
          <w:rFonts w:cs="Times New Roman"/>
          <w:iCs/>
          <w:color w:val="000000"/>
          <w:kern w:val="0"/>
          <w:sz w:val="21"/>
          <w:szCs w:val="21"/>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5</w:t>
                          </w:r>
                          <w:r>
                            <w:rPr>
                              <w:rFonts w:eastAsia="仿宋"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5</w:t>
                    </w:r>
                    <w:r>
                      <w:rPr>
                        <w:rFonts w:eastAsia="仿宋"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A4930"/>
    <w:multiLevelType w:val="singleLevel"/>
    <w:tmpl w:val="C2CA493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MzVlOWRmNTQ5MzVlOTE1NDU0NDhkNWM4YmU1NzUifQ=="/>
  </w:docVars>
  <w:rsids>
    <w:rsidRoot w:val="00B12B0F"/>
    <w:rsid w:val="00060EF1"/>
    <w:rsid w:val="000F532D"/>
    <w:rsid w:val="002060E1"/>
    <w:rsid w:val="00440B28"/>
    <w:rsid w:val="004947AA"/>
    <w:rsid w:val="004F19DE"/>
    <w:rsid w:val="005645AB"/>
    <w:rsid w:val="005B288A"/>
    <w:rsid w:val="00631D46"/>
    <w:rsid w:val="00722962"/>
    <w:rsid w:val="007A6043"/>
    <w:rsid w:val="0081662F"/>
    <w:rsid w:val="008521B9"/>
    <w:rsid w:val="00887914"/>
    <w:rsid w:val="008D4C4F"/>
    <w:rsid w:val="009A2BA7"/>
    <w:rsid w:val="00A30921"/>
    <w:rsid w:val="00B12B0F"/>
    <w:rsid w:val="00C24A98"/>
    <w:rsid w:val="00CA276E"/>
    <w:rsid w:val="00EB744D"/>
    <w:rsid w:val="00F3671D"/>
    <w:rsid w:val="00F758A9"/>
    <w:rsid w:val="02287418"/>
    <w:rsid w:val="0298362F"/>
    <w:rsid w:val="07420338"/>
    <w:rsid w:val="105C3FC2"/>
    <w:rsid w:val="17D0376A"/>
    <w:rsid w:val="18430360"/>
    <w:rsid w:val="18E261BC"/>
    <w:rsid w:val="1B2D43E4"/>
    <w:rsid w:val="1F3C0C2A"/>
    <w:rsid w:val="26F65CEA"/>
    <w:rsid w:val="311B74CA"/>
    <w:rsid w:val="410338EE"/>
    <w:rsid w:val="412D652B"/>
    <w:rsid w:val="478E23E4"/>
    <w:rsid w:val="5BF36EDC"/>
    <w:rsid w:val="5DC95B6F"/>
    <w:rsid w:val="65202855"/>
    <w:rsid w:val="69F5608D"/>
    <w:rsid w:val="745060B2"/>
    <w:rsid w:val="78F6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unhideWhenUsed/>
    <w:qFormat/>
    <w:uiPriority w:val="0"/>
    <w:pPr>
      <w:keepNext/>
      <w:keepLines/>
      <w:adjustRightInd w:val="0"/>
      <w:snapToGrid w:val="0"/>
      <w:spacing w:before="156" w:after="156"/>
      <w:ind w:firstLine="0" w:firstLineChars="0"/>
      <w:outlineLvl w:val="1"/>
    </w:pPr>
    <w:rPr>
      <w:rFonts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uiPriority w:val="0"/>
    <w:pPr>
      <w:jc w:val="left"/>
    </w:pPr>
  </w:style>
  <w:style w:type="paragraph" w:styleId="4">
    <w:name w:val="Body Text"/>
    <w:basedOn w:val="1"/>
    <w:qFormat/>
    <w:uiPriority w:val="99"/>
    <w:pPr>
      <w:spacing w:before="116" w:line="240" w:lineRule="auto"/>
      <w:ind w:left="117"/>
      <w:jc w:val="left"/>
    </w:pPr>
    <w:rPr>
      <w:rFonts w:ascii="宋体" w:hAnsi="宋体" w:cs="宋体"/>
      <w:kern w:val="0"/>
      <w:lang w:eastAsia="en-US"/>
    </w:rPr>
  </w:style>
  <w:style w:type="paragraph" w:styleId="5">
    <w:name w:val="Balloon Text"/>
    <w:basedOn w:val="1"/>
    <w:link w:val="20"/>
    <w:uiPriority w:val="0"/>
    <w:pPr>
      <w:spacing w:line="240" w:lineRule="auto"/>
    </w:pPr>
    <w:rPr>
      <w:sz w:val="18"/>
      <w:szCs w:val="18"/>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3"/>
    <w:next w:val="3"/>
    <w:link w:val="19"/>
    <w:uiPriority w:val="0"/>
    <w:rPr>
      <w:b/>
      <w:bCs/>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font21"/>
    <w:basedOn w:val="11"/>
    <w:uiPriority w:val="0"/>
    <w:rPr>
      <w:rFonts w:hint="eastAsia" w:ascii="宋体" w:hAnsi="宋体" w:eastAsia="宋体" w:cs="宋体"/>
      <w:color w:val="000000"/>
      <w:sz w:val="18"/>
      <w:szCs w:val="18"/>
      <w:u w:val="none"/>
    </w:rPr>
  </w:style>
  <w:style w:type="character" w:customStyle="1" w:styleId="14">
    <w:name w:val="font41"/>
    <w:basedOn w:val="11"/>
    <w:qFormat/>
    <w:uiPriority w:val="0"/>
    <w:rPr>
      <w:rFonts w:hint="default" w:ascii="Times New Roman" w:hAnsi="Times New Roman" w:cs="Times New Roman"/>
      <w:color w:val="000000"/>
      <w:sz w:val="18"/>
      <w:szCs w:val="18"/>
      <w:u w:val="none"/>
    </w:rPr>
  </w:style>
  <w:style w:type="character" w:customStyle="1" w:styleId="15">
    <w:name w:val="font51"/>
    <w:basedOn w:val="11"/>
    <w:qFormat/>
    <w:uiPriority w:val="0"/>
    <w:rPr>
      <w:rFonts w:hint="eastAsia" w:ascii="宋体" w:hAnsi="宋体" w:eastAsia="宋体" w:cs="宋体"/>
      <w:color w:val="000000"/>
      <w:sz w:val="18"/>
      <w:szCs w:val="18"/>
      <w:u w:val="none"/>
    </w:rPr>
  </w:style>
  <w:style w:type="character" w:customStyle="1" w:styleId="16">
    <w:name w:val="font61"/>
    <w:basedOn w:val="11"/>
    <w:uiPriority w:val="0"/>
    <w:rPr>
      <w:rFonts w:hint="default" w:ascii="Times New Roman" w:hAnsi="Times New Roman" w:cs="Times New Roman"/>
      <w:color w:val="000000"/>
      <w:sz w:val="18"/>
      <w:szCs w:val="18"/>
      <w:u w:val="none"/>
    </w:rPr>
  </w:style>
  <w:style w:type="character" w:customStyle="1" w:styleId="17">
    <w:name w:val="font71"/>
    <w:basedOn w:val="11"/>
    <w:qFormat/>
    <w:uiPriority w:val="0"/>
    <w:rPr>
      <w:rFonts w:hint="default" w:ascii="Times New Roman" w:hAnsi="Times New Roman" w:cs="Times New Roman"/>
      <w:color w:val="000000"/>
      <w:sz w:val="18"/>
      <w:szCs w:val="18"/>
      <w:u w:val="none"/>
      <w:vertAlign w:val="superscript"/>
    </w:rPr>
  </w:style>
  <w:style w:type="character" w:customStyle="1" w:styleId="18">
    <w:name w:val="批注文字 字符"/>
    <w:basedOn w:val="11"/>
    <w:link w:val="3"/>
    <w:qFormat/>
    <w:uiPriority w:val="0"/>
    <w:rPr>
      <w:rFonts w:cstheme="minorBidi"/>
      <w:kern w:val="2"/>
      <w:sz w:val="28"/>
      <w:szCs w:val="22"/>
    </w:rPr>
  </w:style>
  <w:style w:type="character" w:customStyle="1" w:styleId="19">
    <w:name w:val="批注主题 字符"/>
    <w:basedOn w:val="18"/>
    <w:link w:val="8"/>
    <w:qFormat/>
    <w:uiPriority w:val="0"/>
    <w:rPr>
      <w:rFonts w:cstheme="minorBidi"/>
      <w:b/>
      <w:bCs/>
      <w:kern w:val="2"/>
      <w:sz w:val="28"/>
      <w:szCs w:val="22"/>
    </w:rPr>
  </w:style>
  <w:style w:type="character" w:customStyle="1" w:styleId="20">
    <w:name w:val="批注框文本 字符"/>
    <w:basedOn w:val="11"/>
    <w:link w:val="5"/>
    <w:qFormat/>
    <w:uiPriority w:val="0"/>
    <w:rPr>
      <w:rFonts w:cstheme="minorBidi"/>
      <w:kern w:val="2"/>
      <w:sz w:val="18"/>
      <w:szCs w:val="18"/>
    </w:rPr>
  </w:style>
  <w:style w:type="paragraph" w:customStyle="1" w:styleId="21">
    <w:name w:val="Revision"/>
    <w:hidden/>
    <w:semiHidden/>
    <w:qFormat/>
    <w:uiPriority w:val="99"/>
    <w:rPr>
      <w:rFonts w:ascii="Times New Roman" w:hAnsi="Times New Roman" w:eastAsia="宋体"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7709</Words>
  <Characters>8243</Characters>
  <Lines>63</Lines>
  <Paragraphs>17</Paragraphs>
  <TotalTime>53</TotalTime>
  <ScaleCrop>false</ScaleCrop>
  <LinksUpToDate>false</LinksUpToDate>
  <CharactersWithSpaces>8314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2022-12-20T06:41:00Z</dcterms:created>
  <dc:creator>Administrator</dc:creator>
  <cp:lastModifiedBy>星星</cp:lastModifiedBy>
  <cp:lastPrinted>2023-02-16T06:27:43Z</cp:lastPrinted>
  <dcterms:modified xsi:type="dcterms:W3CDTF">2023-02-16T08:35:22Z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2E72ABC4637641E09B42145FD920BD1E</vt:lpwstr>
  </property>
</Properties>
</file>