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1E1C" w14:textId="77777777" w:rsidR="006E4CD1" w:rsidRDefault="006E4CD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015EE833" w14:textId="77777777" w:rsidR="006E4CD1" w:rsidRDefault="006E4CD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30FE9FB4" w14:textId="77777777" w:rsidR="006E4CD1" w:rsidRDefault="006E4CD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45E82400" w14:textId="1C87B3F8" w:rsidR="00FF2576" w:rsidRDefault="00000000" w:rsidP="004C380B">
      <w:pPr>
        <w:jc w:val="right"/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                  </w:t>
      </w:r>
      <w:r w:rsidR="00FF2576">
        <w:rPr>
          <w:rFonts w:ascii="仿宋_GB2312" w:eastAsia="仿宋_GB2312" w:hAnsi="仿宋" w:hint="eastAsia"/>
          <w:sz w:val="30"/>
          <w:szCs w:val="30"/>
        </w:rPr>
        <w:t>中</w:t>
      </w:r>
      <w:proofErr w:type="gramStart"/>
      <w:r w:rsidR="00FF2576">
        <w:rPr>
          <w:rFonts w:ascii="仿宋_GB2312" w:eastAsia="仿宋_GB2312" w:hAnsi="仿宋" w:hint="eastAsia"/>
          <w:sz w:val="30"/>
          <w:szCs w:val="30"/>
        </w:rPr>
        <w:t>成协培</w:t>
      </w:r>
      <w:proofErr w:type="gramEnd"/>
      <w:r w:rsidR="00FF2576">
        <w:rPr>
          <w:rFonts w:ascii="仿宋_GB2312" w:eastAsia="仿宋_GB2312" w:hAnsi="仿宋" w:hint="eastAsia"/>
          <w:sz w:val="30"/>
          <w:szCs w:val="30"/>
        </w:rPr>
        <w:t>〔202</w:t>
      </w:r>
      <w:r w:rsidR="00FF2576">
        <w:rPr>
          <w:rFonts w:ascii="仿宋_GB2312" w:eastAsia="仿宋_GB2312" w:hAnsi="仿宋"/>
          <w:sz w:val="30"/>
          <w:szCs w:val="30"/>
        </w:rPr>
        <w:t>4</w:t>
      </w:r>
      <w:r w:rsidR="00FF2576">
        <w:rPr>
          <w:rFonts w:ascii="仿宋_GB2312" w:eastAsia="仿宋_GB2312" w:hAnsi="仿宋" w:hint="eastAsia"/>
          <w:sz w:val="30"/>
          <w:szCs w:val="30"/>
        </w:rPr>
        <w:t>〕</w:t>
      </w:r>
      <w:r w:rsidR="00FF2576">
        <w:rPr>
          <w:rFonts w:ascii="仿宋_GB2312" w:eastAsia="仿宋_GB2312" w:hAnsi="仿宋" w:hint="eastAsia"/>
          <w:sz w:val="30"/>
          <w:szCs w:val="30"/>
        </w:rPr>
        <w:t>50</w:t>
      </w:r>
      <w:r w:rsidR="00FF2576">
        <w:rPr>
          <w:rFonts w:ascii="仿宋_GB2312" w:eastAsia="仿宋_GB2312" w:hAnsi="仿宋"/>
          <w:sz w:val="30"/>
          <w:szCs w:val="30"/>
        </w:rPr>
        <w:t>号</w:t>
      </w:r>
    </w:p>
    <w:p w14:paraId="76864E98" w14:textId="75B9FF98" w:rsidR="006E4CD1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关于举办第二期继续教育高质量发展专题研修班的通知</w:t>
      </w:r>
    </w:p>
    <w:p w14:paraId="19821EF6" w14:textId="77777777" w:rsidR="006E4CD1" w:rsidRDefault="006E4CD1" w:rsidP="004C380B">
      <w:pPr>
        <w:rPr>
          <w:rFonts w:ascii="仿宋" w:eastAsia="仿宋" w:hAnsi="仿宋" w:cs="Times New Roman" w:hint="eastAsia"/>
          <w:bCs/>
          <w:sz w:val="30"/>
          <w:szCs w:val="30"/>
        </w:rPr>
      </w:pPr>
    </w:p>
    <w:p w14:paraId="2FEA774B" w14:textId="77777777" w:rsidR="006E4CD1" w:rsidRDefault="00000000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各普通高校、职业院校，各级开放大学：</w:t>
      </w:r>
    </w:p>
    <w:p w14:paraId="50EF4D5D" w14:textId="5102E114" w:rsidR="006E4CD1" w:rsidRDefault="00000000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为深入贯彻落实党的二十大</w:t>
      </w:r>
      <w:r w:rsidR="00FF2576">
        <w:rPr>
          <w:rFonts w:ascii="仿宋_GB2312" w:eastAsia="仿宋_GB2312" w:hAnsi="仿宋_GB2312" w:cs="仿宋_GB2312" w:hint="eastAsia"/>
          <w:bCs/>
          <w:sz w:val="30"/>
          <w:szCs w:val="30"/>
        </w:rPr>
        <w:t>及二十届三中全会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精神和习近平总书记关于继续教育与学习型社会建设的重要指示，以及《教育部关于印发&lt;学习型社会建设重点任务&gt;的通知》文件精神，提升普通高校、职业院校和开放大学的继续教育服务能力，助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推继续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教育高质量发展，中国成人教育协会决定举办第二期继续教育高质量发展专题研修班。现将有关事宜通知如下：</w:t>
      </w:r>
    </w:p>
    <w:p w14:paraId="0777CFD1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一、组织单位</w:t>
      </w:r>
    </w:p>
    <w:p w14:paraId="1A6C2F0A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主办单位：中国成人教育协会</w:t>
      </w:r>
    </w:p>
    <w:p w14:paraId="43554941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承办单位：浙江国际海运职业技术学院</w:t>
      </w:r>
    </w:p>
    <w:p w14:paraId="39E82C6A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二、研修对象</w:t>
      </w:r>
    </w:p>
    <w:p w14:paraId="1AFCA445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全国普通高校、职业院校（含技工院校）和开放大学等院校，以及中国成人教育协会“职业院校服务全民终身学习项目”和“继续教育发展共同体项目”等项目单位，分管继续教育校级领导、继续教育干部教师。</w:t>
      </w:r>
    </w:p>
    <w:p w14:paraId="6936A2A9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三、研修时间与地点</w:t>
      </w:r>
    </w:p>
    <w:p w14:paraId="700B250D" w14:textId="77777777" w:rsidR="006E4CD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研修时间：2025年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1月12-18日（12日报到，18日离会）</w:t>
      </w:r>
    </w:p>
    <w:p w14:paraId="76112777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lastRenderedPageBreak/>
        <w:t>研修地点：浙江省舟山市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普陀区康腾路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50号（普陀开元大酒店）</w:t>
      </w:r>
    </w:p>
    <w:p w14:paraId="0B23F08D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四、研修目标</w:t>
      </w:r>
    </w:p>
    <w:p w14:paraId="7CD00F7C" w14:textId="77777777" w:rsidR="006E4CD1" w:rsidRDefault="00000000" w:rsidP="004C380B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1.聚焦教育强国建设，创新继续教育发展理念。在建设教育强国背景下，坚定理想信念，明晰高校、职校继续教育发展面临的新问题、新任务，拓展视野、更新理念。</w:t>
      </w:r>
    </w:p>
    <w:p w14:paraId="54EF0613" w14:textId="77777777" w:rsidR="006E4CD1" w:rsidRDefault="00000000" w:rsidP="004C380B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2.赋能培训管理，提升培训专业化水平。着力提高继续教育培训管理者的专业化水平，助推其做好培训项目的体系设计，服务好企业和各政府委办局，打造特色培训项目品牌。</w:t>
      </w:r>
    </w:p>
    <w:p w14:paraId="70C8F4D2" w14:textId="77777777" w:rsidR="006E4CD1" w:rsidRDefault="00000000" w:rsidP="004C380B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3.学习优秀经验，提升继续教育领域领导干部的科研和教学水平。通过现场教学、案例分享等环节，学习优秀经验，帮助职业院校做好做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精社会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>培训，并提升继续教育领导和干部的科研能力和教学水平。</w:t>
      </w:r>
    </w:p>
    <w:p w14:paraId="68650809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五、研修内容</w:t>
      </w:r>
    </w:p>
    <w:p w14:paraId="06F222E8" w14:textId="77777777" w:rsidR="006E4CD1" w:rsidRDefault="00000000" w:rsidP="004C380B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聚焦新时代背景下继续教育面临的新形势、新问题、新任务，围绕“政策引领”“理论指导”“管理实践”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三大内容开展。具体日程详见附件。</w:t>
      </w:r>
    </w:p>
    <w:p w14:paraId="1231C566" w14:textId="77777777" w:rsidR="006E4CD1" w:rsidRDefault="00000000" w:rsidP="004C380B">
      <w:pPr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政策引领：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把握新形势、新要求，助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推继续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教育服务教育强国建设。</w:t>
      </w:r>
    </w:p>
    <w:p w14:paraId="1A6E867D" w14:textId="77777777" w:rsidR="006E4CD1" w:rsidRDefault="00000000" w:rsidP="004C380B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理论指导：培训项目策划与设计，培训项目推广与运营，培训项目管理等。</w:t>
      </w:r>
    </w:p>
    <w:p w14:paraId="1D2A383D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管理实践：打造培训项目品牌，服务区域产业转型升级与经济发展。</w:t>
      </w:r>
    </w:p>
    <w:p w14:paraId="4894896B" w14:textId="77777777" w:rsidR="00BD5922" w:rsidRDefault="00BD5922" w:rsidP="004C380B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14:paraId="77BC32EE" w14:textId="2F4015E4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六、研修形式</w:t>
      </w:r>
    </w:p>
    <w:p w14:paraId="09FACC33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kern w:val="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专题报告：邀请国内知名教育专家、学者、一线管理者、院校继续教育工作负责人等对学员进行深入而系统的课程讲授，帮助其夯实理论功底，拓展新知。</w:t>
      </w:r>
    </w:p>
    <w:p w14:paraId="75787E31" w14:textId="77777777" w:rsidR="006E4CD1" w:rsidRDefault="00000000" w:rsidP="004C380B">
      <w:pPr>
        <w:pStyle w:val="a3"/>
        <w:tabs>
          <w:tab w:val="left" w:pos="1260"/>
        </w:tabs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  <w:t>实战训练：围绕授课内容开展行动教学，充分发挥学员学习主体地位，在专家指导下完成实战任务、解决实际困难，促进研修反思，提升研修效果。</w:t>
      </w:r>
    </w:p>
    <w:p w14:paraId="2A8E0A73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案例分享：邀请优秀院校的典型案例进行分享交流，实现好经验共享、好做法共用的辐射作用。</w:t>
      </w:r>
    </w:p>
    <w:p w14:paraId="26339FF1" w14:textId="77777777" w:rsidR="006E4CD1" w:rsidRDefault="00000000" w:rsidP="004C380B">
      <w:pPr>
        <w:pStyle w:val="a3"/>
        <w:tabs>
          <w:tab w:val="left" w:pos="1260"/>
        </w:tabs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  <w:t>分组研讨：聚焦主题，以具体问题为导向，以实践优化为重点，引导学员深入探究研究主题并展开分组交流，促进学员成果输出。</w:t>
      </w:r>
    </w:p>
    <w:p w14:paraId="258BA2F0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七、考核评价</w:t>
      </w:r>
    </w:p>
    <w:p w14:paraId="78F6A87A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  <w:shd w:val="clear" w:color="auto" w:fill="FFFFFF"/>
        </w:rPr>
        <w:t>本次培训总分为100分，最终成绩达到95分以上者，即可算结业。</w:t>
      </w:r>
    </w:p>
    <w:tbl>
      <w:tblPr>
        <w:tblW w:w="50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1214"/>
        <w:gridCol w:w="5424"/>
        <w:gridCol w:w="903"/>
      </w:tblGrid>
      <w:tr w:rsidR="006E4CD1" w14:paraId="677E8BAA" w14:textId="77777777">
        <w:trPr>
          <w:trHeight w:val="392"/>
          <w:jc w:val="center"/>
        </w:trPr>
        <w:tc>
          <w:tcPr>
            <w:tcW w:w="622" w:type="pct"/>
            <w:shd w:val="clear" w:color="000000" w:fill="auto"/>
            <w:vAlign w:val="center"/>
          </w:tcPr>
          <w:p w14:paraId="29AA419D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培训</w:t>
            </w:r>
          </w:p>
          <w:p w14:paraId="03A3F017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方式</w:t>
            </w:r>
          </w:p>
        </w:tc>
        <w:tc>
          <w:tcPr>
            <w:tcW w:w="3853" w:type="pct"/>
            <w:gridSpan w:val="2"/>
            <w:shd w:val="clear" w:color="000000" w:fill="auto"/>
            <w:vAlign w:val="center"/>
          </w:tcPr>
          <w:p w14:paraId="433E63D8" w14:textId="77777777" w:rsidR="006E4CD1" w:rsidRDefault="00000000" w:rsidP="004C380B">
            <w:pPr>
              <w:widowControl/>
              <w:snapToGrid w:val="0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考评内容</w:t>
            </w:r>
          </w:p>
        </w:tc>
        <w:tc>
          <w:tcPr>
            <w:tcW w:w="524" w:type="pct"/>
            <w:shd w:val="clear" w:color="000000" w:fill="auto"/>
            <w:vAlign w:val="center"/>
          </w:tcPr>
          <w:p w14:paraId="4B8925DE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权重</w:t>
            </w:r>
          </w:p>
        </w:tc>
      </w:tr>
      <w:tr w:rsidR="006E4CD1" w14:paraId="4A9B60C6" w14:textId="77777777">
        <w:trPr>
          <w:trHeight w:val="23"/>
          <w:jc w:val="center"/>
        </w:trPr>
        <w:tc>
          <w:tcPr>
            <w:tcW w:w="622" w:type="pct"/>
            <w:vMerge w:val="restart"/>
            <w:shd w:val="clear" w:color="000000" w:fill="auto"/>
            <w:vAlign w:val="center"/>
          </w:tcPr>
          <w:p w14:paraId="7CC0E6AD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集中</w:t>
            </w:r>
          </w:p>
          <w:p w14:paraId="0F5E6699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培训</w:t>
            </w:r>
          </w:p>
        </w:tc>
        <w:tc>
          <w:tcPr>
            <w:tcW w:w="705" w:type="pct"/>
            <w:shd w:val="clear" w:color="000000" w:fill="auto"/>
            <w:vAlign w:val="center"/>
          </w:tcPr>
          <w:p w14:paraId="3392B6DA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过程性评价</w:t>
            </w:r>
          </w:p>
        </w:tc>
        <w:tc>
          <w:tcPr>
            <w:tcW w:w="3148" w:type="pct"/>
            <w:shd w:val="clear" w:color="000000" w:fill="auto"/>
            <w:vAlign w:val="center"/>
          </w:tcPr>
          <w:p w14:paraId="1E7D96AC" w14:textId="77777777" w:rsidR="006E4CD1" w:rsidRDefault="00000000" w:rsidP="004C380B">
            <w:pPr>
              <w:widowControl/>
              <w:snapToGrid w:val="0"/>
              <w:ind w:firstLineChars="100" w:firstLine="240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1.考勤与纪律考核，全勤无违纪20分。</w:t>
            </w:r>
          </w:p>
          <w:p w14:paraId="530A1748" w14:textId="77777777" w:rsidR="006E4CD1" w:rsidRDefault="00000000" w:rsidP="004C380B">
            <w:pPr>
              <w:widowControl/>
              <w:snapToGrid w:val="0"/>
              <w:ind w:firstLineChars="100" w:firstLine="240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2.迟到、早退（1分/1次）；公假、病假（1分/半天）；事假（2分/半天）；旷课（4分/半天）；</w:t>
            </w:r>
          </w:p>
          <w:p w14:paraId="452BF3FB" w14:textId="77777777" w:rsidR="006E4CD1" w:rsidRDefault="00000000" w:rsidP="004C380B">
            <w:pPr>
              <w:widowControl/>
              <w:snapToGrid w:val="0"/>
              <w:ind w:firstLineChars="100" w:firstLine="240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3.上课时间在教室接打电话（2分/1次），其他未遵守培训纪律视其情节酌情减分。</w:t>
            </w:r>
          </w:p>
          <w:p w14:paraId="423BC152" w14:textId="77777777" w:rsidR="006E4CD1" w:rsidRDefault="00000000" w:rsidP="004C380B">
            <w:pPr>
              <w:widowControl/>
              <w:snapToGrid w:val="0"/>
              <w:ind w:firstLineChars="100" w:firstLine="240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4.积极参与分组研讨。</w:t>
            </w:r>
          </w:p>
        </w:tc>
        <w:tc>
          <w:tcPr>
            <w:tcW w:w="524" w:type="pct"/>
            <w:shd w:val="clear" w:color="000000" w:fill="auto"/>
            <w:vAlign w:val="center"/>
          </w:tcPr>
          <w:p w14:paraId="0974382A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%</w:t>
            </w:r>
          </w:p>
        </w:tc>
      </w:tr>
      <w:tr w:rsidR="006E4CD1" w14:paraId="182C5684" w14:textId="77777777">
        <w:trPr>
          <w:trHeight w:val="466"/>
          <w:jc w:val="center"/>
        </w:trPr>
        <w:tc>
          <w:tcPr>
            <w:tcW w:w="622" w:type="pct"/>
            <w:vMerge/>
            <w:shd w:val="clear" w:color="000000" w:fill="auto"/>
            <w:vAlign w:val="center"/>
          </w:tcPr>
          <w:p w14:paraId="45DC6AA4" w14:textId="77777777" w:rsidR="006E4CD1" w:rsidRDefault="006E4CD1" w:rsidP="004C380B">
            <w:pPr>
              <w:widowControl/>
              <w:snapToGrid w:val="0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705" w:type="pct"/>
            <w:vMerge w:val="restart"/>
            <w:shd w:val="clear" w:color="000000" w:fill="auto"/>
            <w:vAlign w:val="center"/>
          </w:tcPr>
          <w:p w14:paraId="33F3DFD5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成果性考核</w:t>
            </w:r>
          </w:p>
        </w:tc>
        <w:tc>
          <w:tcPr>
            <w:tcW w:w="3148" w:type="pct"/>
            <w:shd w:val="clear" w:color="000000" w:fill="auto"/>
            <w:vAlign w:val="center"/>
          </w:tcPr>
          <w:p w14:paraId="2DDEC872" w14:textId="77777777" w:rsidR="006E4CD1" w:rsidRDefault="00000000" w:rsidP="004C380B">
            <w:pPr>
              <w:widowControl/>
              <w:snapToGrid w:val="0"/>
              <w:ind w:firstLineChars="100" w:firstLine="240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1.根据实战训练任务，完成并提交一份培训项目设计方案；</w:t>
            </w:r>
          </w:p>
        </w:tc>
        <w:tc>
          <w:tcPr>
            <w:tcW w:w="524" w:type="pct"/>
            <w:shd w:val="clear" w:color="000000" w:fill="auto"/>
            <w:vAlign w:val="center"/>
          </w:tcPr>
          <w:p w14:paraId="56BC7DA0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0%</w:t>
            </w:r>
          </w:p>
        </w:tc>
      </w:tr>
      <w:tr w:rsidR="006E4CD1" w14:paraId="2EBBBC8D" w14:textId="77777777">
        <w:trPr>
          <w:trHeight w:val="466"/>
          <w:jc w:val="center"/>
        </w:trPr>
        <w:tc>
          <w:tcPr>
            <w:tcW w:w="622" w:type="pct"/>
            <w:vMerge/>
            <w:shd w:val="clear" w:color="000000" w:fill="auto"/>
            <w:vAlign w:val="center"/>
          </w:tcPr>
          <w:p w14:paraId="77FFD54D" w14:textId="77777777" w:rsidR="006E4CD1" w:rsidRDefault="006E4CD1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000000" w:fill="auto"/>
            <w:vAlign w:val="center"/>
          </w:tcPr>
          <w:p w14:paraId="2CA6D286" w14:textId="77777777" w:rsidR="006E4CD1" w:rsidRDefault="006E4CD1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148" w:type="pct"/>
            <w:shd w:val="clear" w:color="000000" w:fill="auto"/>
            <w:vAlign w:val="center"/>
          </w:tcPr>
          <w:p w14:paraId="16E739B8" w14:textId="77777777" w:rsidR="006E4CD1" w:rsidRDefault="00000000" w:rsidP="004C380B">
            <w:pPr>
              <w:widowControl/>
              <w:snapToGrid w:val="0"/>
              <w:ind w:firstLineChars="100" w:firstLine="240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需提交一篇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不少于800字的学习总结。</w:t>
            </w:r>
          </w:p>
        </w:tc>
        <w:tc>
          <w:tcPr>
            <w:tcW w:w="524" w:type="pct"/>
            <w:shd w:val="clear" w:color="000000" w:fill="auto"/>
            <w:vAlign w:val="center"/>
          </w:tcPr>
          <w:p w14:paraId="3F9E15EB" w14:textId="77777777" w:rsidR="006E4CD1" w:rsidRDefault="00000000" w:rsidP="004C380B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10%</w:t>
            </w:r>
          </w:p>
        </w:tc>
      </w:tr>
    </w:tbl>
    <w:p w14:paraId="733D4170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八、组织管理</w:t>
      </w:r>
    </w:p>
    <w:p w14:paraId="10046C30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为保证培训顺利组织实施，成立项目执行工作团队，具体设置如下：</w:t>
      </w:r>
    </w:p>
    <w:p w14:paraId="14B722B7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工作领导小组。领导小组负责本项目培训工作的全面统筹组织，组建相关职能工作小组，并对其工作进行管理、监督和指导。</w:t>
      </w:r>
    </w:p>
    <w:p w14:paraId="50BB7F93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班主任工作团队。班主任全程主持和参与培训班的教学活动，组织学员做好互动交流、分组研讨等相关活动；为学员提供必要的学习支持，对学员培训情况进行考察，为学员培训鉴定提供基础材料。</w:t>
      </w:r>
    </w:p>
    <w:p w14:paraId="441A13FA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教务工作小组。教务工作小组对线下培训班教学活动全面负责，协助班主任执行教学计划，开展培训的组织管理与服务工作。</w:t>
      </w:r>
    </w:p>
    <w:p w14:paraId="377D350A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学员组织体系。设立班委会，充分发挥班委会在各项培训活动中的自我组织、自我管理作用，以便就相关问题进行更深入的研讨交流。</w:t>
      </w:r>
    </w:p>
    <w:p w14:paraId="59688497" w14:textId="77777777" w:rsidR="006E4CD1" w:rsidRDefault="00000000" w:rsidP="004C380B">
      <w:pPr>
        <w:spacing w:line="560" w:lineRule="exact"/>
        <w:ind w:firstLine="602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九、研修费用</w:t>
      </w:r>
    </w:p>
    <w:p w14:paraId="19B38B65" w14:textId="77777777" w:rsidR="006E4CD1" w:rsidRDefault="00000000" w:rsidP="004C380B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本次研修费用为3280元/人（含研修期间专家授课费、研修场地费、研修资料费、现场教学交通费、伙食费），住宿费、交通费单位自理。</w:t>
      </w:r>
    </w:p>
    <w:p w14:paraId="17F762CF" w14:textId="77777777" w:rsidR="006E4CD1" w:rsidRDefault="00000000" w:rsidP="004C380B">
      <w:pPr>
        <w:spacing w:line="560" w:lineRule="exact"/>
        <w:ind w:firstLine="602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十、报名方式</w:t>
      </w:r>
    </w:p>
    <w:p w14:paraId="08964CC2" w14:textId="77777777" w:rsidR="006E4CD1" w:rsidRDefault="00000000" w:rsidP="004C380B">
      <w:pPr>
        <w:spacing w:line="560" w:lineRule="exact"/>
        <w:ind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各院校请认真填写报名表（见附件），各地教育管理部门也可统筹安排，于2025年1月3日前将报名表发送至电子邮箱：</w:t>
      </w:r>
      <w:hyperlink r:id="rId7" w:history="1">
        <w:r>
          <w:rPr>
            <w:rStyle w:val="aa"/>
            <w:rFonts w:ascii="仿宋_GB2312" w:eastAsia="仿宋_GB2312" w:hAnsi="仿宋_GB2312" w:cs="仿宋_GB2312" w:hint="eastAsia"/>
            <w:bCs/>
            <w:color w:val="auto"/>
            <w:sz w:val="30"/>
            <w:szCs w:val="30"/>
            <w:u w:val="none"/>
          </w:rPr>
          <w:t>yangweili@enaea.edu.cn</w:t>
        </w:r>
      </w:hyperlink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14:paraId="090B72BD" w14:textId="77777777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十一、研修证书</w:t>
      </w:r>
    </w:p>
    <w:p w14:paraId="173D8259" w14:textId="5AF7E632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本期研修班研修结业后，由中国成人教育协会颁发培训证书。</w:t>
      </w:r>
    </w:p>
    <w:p w14:paraId="2DBE40F6" w14:textId="77777777" w:rsidR="006E4CD1" w:rsidRDefault="00000000" w:rsidP="004C380B">
      <w:pPr>
        <w:snapToGri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十二、付款方式</w:t>
      </w:r>
    </w:p>
    <w:p w14:paraId="76CEF2C8" w14:textId="77777777" w:rsidR="006E4CD1" w:rsidRDefault="00000000" w:rsidP="004C380B">
      <w:pPr>
        <w:snapToGri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报到时刷卡支付或通过转账方式支付。汇款信息（汇款时请注明第二期继续教育专题研修班费用）：</w:t>
      </w:r>
    </w:p>
    <w:p w14:paraId="7C44E58D" w14:textId="77777777" w:rsidR="006E4CD1" w:rsidRDefault="00000000" w:rsidP="004C380B">
      <w:pPr>
        <w:snapToGri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开户行：中国工商银行北京德外支行</w:t>
      </w:r>
    </w:p>
    <w:p w14:paraId="7A275F02" w14:textId="77777777" w:rsidR="006E4CD1" w:rsidRDefault="00000000" w:rsidP="004C380B">
      <w:pPr>
        <w:snapToGri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lastRenderedPageBreak/>
        <w:t>户  名：中国成人教育协会</w:t>
      </w:r>
    </w:p>
    <w:p w14:paraId="5374DB9E" w14:textId="77777777" w:rsidR="006E4CD1" w:rsidRDefault="00000000" w:rsidP="004C380B">
      <w:pPr>
        <w:widowControl/>
        <w:ind w:firstLineChars="200" w:firstLine="600"/>
        <w:jc w:val="left"/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  <w:t>账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  <w:t xml:space="preserve">  号：0200 0013 0902 0242 467</w:t>
      </w:r>
    </w:p>
    <w:p w14:paraId="451A1B08" w14:textId="77777777" w:rsidR="006E4CD1" w:rsidRDefault="00000000" w:rsidP="004C380B">
      <w:pPr>
        <w:widowControl/>
        <w:ind w:firstLineChars="200" w:firstLine="600"/>
        <w:jc w:val="left"/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  <w:t>行  号: 1021 0000 0136</w:t>
      </w:r>
    </w:p>
    <w:p w14:paraId="158BEB8F" w14:textId="77777777" w:rsidR="006E4CD1" w:rsidRDefault="00000000" w:rsidP="004C380B">
      <w:pPr>
        <w:snapToGri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十三、联系方式</w:t>
      </w:r>
    </w:p>
    <w:p w14:paraId="33D884C6" w14:textId="43E482C3" w:rsidR="006E4CD1" w:rsidRDefault="00000000" w:rsidP="004C380B">
      <w:pPr>
        <w:widowControl/>
        <w:ind w:firstLineChars="200" w:firstLine="6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彭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芳</w:t>
      </w:r>
      <w:r w:rsidR="004C380B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010-81299751 18611285756</w:t>
      </w:r>
    </w:p>
    <w:p w14:paraId="146A5FC6" w14:textId="30794A35" w:rsidR="006E4CD1" w:rsidRDefault="00000000" w:rsidP="004C380B">
      <w:pPr>
        <w:widowControl/>
        <w:ind w:firstLineChars="600" w:firstLine="180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刘晓妹</w:t>
      </w:r>
      <w:r w:rsidR="004C380B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18611285781</w:t>
      </w:r>
    </w:p>
    <w:p w14:paraId="4FE8D91D" w14:textId="3820A527" w:rsidR="006E4CD1" w:rsidRDefault="00000000" w:rsidP="004C380B">
      <w:pPr>
        <w:widowControl/>
        <w:ind w:firstLineChars="600" w:firstLine="1800"/>
        <w:jc w:val="left"/>
        <w:rPr>
          <w:rFonts w:ascii="仿宋_GB2312" w:eastAsia="仿宋_GB2312" w:hAnsi="仿宋_GB2312" w:cs="仿宋_GB2312" w:hint="eastAsia"/>
          <w:bCs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肖志华</w:t>
      </w:r>
      <w:r w:rsidR="004C380B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18611262269</w:t>
      </w:r>
    </w:p>
    <w:p w14:paraId="32DE117E" w14:textId="7ACA37A0" w:rsidR="006E4CD1" w:rsidRDefault="00000000" w:rsidP="004C380B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0"/>
          <w:szCs w:val="30"/>
        </w:rPr>
        <w:t>邮</w:t>
      </w:r>
      <w:proofErr w:type="gramEnd"/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箱：</w:t>
      </w:r>
      <w:hyperlink r:id="rId8" w:history="1">
        <w:r>
          <w:rPr>
            <w:rStyle w:val="aa"/>
            <w:rFonts w:ascii="仿宋_GB2312" w:eastAsia="仿宋_GB2312" w:hAnsi="仿宋_GB2312" w:cs="仿宋_GB2312" w:hint="eastAsia"/>
            <w:bCs/>
            <w:color w:val="auto"/>
            <w:sz w:val="30"/>
            <w:szCs w:val="30"/>
            <w:u w:val="none"/>
          </w:rPr>
          <w:t>yangweili@enaea.edu.cn</w:t>
        </w:r>
      </w:hyperlink>
    </w:p>
    <w:p w14:paraId="0C51CE17" w14:textId="77777777" w:rsidR="006E4CD1" w:rsidRDefault="006E4CD1" w:rsidP="004C380B">
      <w:pPr>
        <w:pStyle w:val="a7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</w:pPr>
    </w:p>
    <w:p w14:paraId="395C0E7D" w14:textId="77777777" w:rsidR="006E4CD1" w:rsidRDefault="00000000" w:rsidP="004C380B">
      <w:pPr>
        <w:pStyle w:val="a7"/>
        <w:widowControl w:val="0"/>
        <w:spacing w:before="0" w:beforeAutospacing="0" w:after="0" w:afterAutospacing="0" w:line="560" w:lineRule="exact"/>
        <w:ind w:firstLineChars="200" w:firstLine="600"/>
        <w:jc w:val="both"/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kern w:val="2"/>
          <w:sz w:val="30"/>
          <w:szCs w:val="30"/>
        </w:rPr>
        <w:t>附件1：第二期继续教育高质量发展专题研修班日程安排（拟）</w:t>
      </w:r>
    </w:p>
    <w:p w14:paraId="1BA4ABDA" w14:textId="77777777" w:rsidR="006E4CD1" w:rsidRDefault="00000000" w:rsidP="004C380B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附件2:报名回执表</w:t>
      </w:r>
    </w:p>
    <w:p w14:paraId="176186E4" w14:textId="77777777" w:rsidR="006E4CD1" w:rsidRDefault="006E4CD1" w:rsidP="004C380B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14:paraId="13809141" w14:textId="77777777" w:rsidR="006E4CD1" w:rsidRDefault="00000000" w:rsidP="004C380B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中国成人教育协会</w:t>
      </w:r>
    </w:p>
    <w:p w14:paraId="46511579" w14:textId="77777777" w:rsidR="006E4CD1" w:rsidRDefault="00000000" w:rsidP="004C380B">
      <w:pPr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2024年12月4日</w:t>
      </w:r>
    </w:p>
    <w:p w14:paraId="2FB198E7" w14:textId="77777777" w:rsidR="006E4CD1" w:rsidRDefault="00000000" w:rsidP="004C380B">
      <w:pPr>
        <w:widowControl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br w:type="page"/>
      </w:r>
    </w:p>
    <w:p w14:paraId="4B439681" w14:textId="77777777" w:rsidR="006E4CD1" w:rsidRDefault="00000000" w:rsidP="004C380B">
      <w:pPr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附件1：</w:t>
      </w:r>
    </w:p>
    <w:p w14:paraId="7AF1C2BA" w14:textId="77777777" w:rsidR="006E4CD1" w:rsidRDefault="00000000" w:rsidP="004C380B">
      <w:pPr>
        <w:spacing w:afterLines="100" w:after="312"/>
        <w:jc w:val="center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第二期</w:t>
      </w:r>
      <w:r>
        <w:rPr>
          <w:rFonts w:ascii="仿宋" w:eastAsia="仿宋" w:hAnsi="仿宋" w:cs="Times New Roman"/>
          <w:sz w:val="30"/>
          <w:szCs w:val="30"/>
        </w:rPr>
        <w:t>继续教育高质量发展专题研修班</w:t>
      </w:r>
      <w:r>
        <w:rPr>
          <w:rFonts w:ascii="仿宋" w:eastAsia="仿宋" w:hAnsi="仿宋" w:cs="Times New Roman" w:hint="eastAsia"/>
          <w:sz w:val="30"/>
          <w:szCs w:val="30"/>
        </w:rPr>
        <w:t>日程安排（拟）</w:t>
      </w:r>
    </w:p>
    <w:tbl>
      <w:tblPr>
        <w:tblStyle w:val="a8"/>
        <w:tblW w:w="11080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1541"/>
        <w:gridCol w:w="3933"/>
        <w:gridCol w:w="3520"/>
        <w:gridCol w:w="1000"/>
      </w:tblGrid>
      <w:tr w:rsidR="006E4CD1" w14:paraId="65B5DE23" w14:textId="77777777">
        <w:trPr>
          <w:cantSplit/>
          <w:trHeight w:val="650"/>
          <w:jc w:val="center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610B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日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 xml:space="preserve">   期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A60E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培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训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内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56BB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主讲专家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1023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地点</w:t>
            </w:r>
          </w:p>
        </w:tc>
      </w:tr>
      <w:tr w:rsidR="006E4CD1" w14:paraId="6C8A3478" w14:textId="77777777">
        <w:trPr>
          <w:trHeight w:val="786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33D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12日</w:t>
            </w:r>
          </w:p>
          <w:p w14:paraId="660F7B90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2A30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10:30-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:00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C56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报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到</w:t>
            </w:r>
          </w:p>
        </w:tc>
      </w:tr>
      <w:tr w:rsidR="006E4CD1" w14:paraId="181D2EE5" w14:textId="77777777">
        <w:trPr>
          <w:trHeight w:val="365"/>
          <w:jc w:val="center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E9E3" w:themeFill="accent5" w:themeFillTint="66"/>
            <w:vAlign w:val="center"/>
          </w:tcPr>
          <w:p w14:paraId="0D0BC8A6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政策引领</w:t>
            </w:r>
          </w:p>
        </w:tc>
      </w:tr>
      <w:tr w:rsidR="006E4CD1" w14:paraId="57409E1D" w14:textId="77777777">
        <w:trPr>
          <w:trHeight w:val="90"/>
          <w:jc w:val="center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F93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13日</w:t>
            </w:r>
          </w:p>
          <w:p w14:paraId="44D3FFB6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C3A2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08:30-09:40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E183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开班仪式：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领导讲话、协办单位领导主旨演讲、集体合影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3940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中国成人教育协会领导等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4437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开元厅</w:t>
            </w:r>
          </w:p>
        </w:tc>
      </w:tr>
      <w:tr w:rsidR="006E4CD1" w14:paraId="4B69B189" w14:textId="77777777">
        <w:trPr>
          <w:trHeight w:val="840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97D9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D74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10:00-12:00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2B04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开班报告：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把握新形势、新要求，助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推继续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教育服务教育强国建设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040F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邢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国家教育行政学院职业教育研究中心原主任、教授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717E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</w:p>
        </w:tc>
      </w:tr>
      <w:tr w:rsidR="006E4CD1" w14:paraId="3CC10001" w14:textId="77777777">
        <w:trPr>
          <w:trHeight w:val="825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A88A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92D2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14:30-17:00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037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专题报告：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全国教育大会精神引领下的高校继续教育发展新航向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2439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马陆亭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中国高等教育学会学术发展咨询委员会副主任兼秘书长，中国教育科学研究院原副院长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7B2A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</w:p>
        </w:tc>
      </w:tr>
      <w:tr w:rsidR="006E4CD1" w14:paraId="7A56AAB0" w14:textId="77777777">
        <w:trPr>
          <w:trHeight w:val="612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090B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CD4E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19:00-20:30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E8CD" w14:textId="77777777" w:rsidR="006E4CD1" w:rsidRDefault="00000000" w:rsidP="004C380B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分组研讨：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全国教育大会精神引领高校继续教育高质量发展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D48A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6E4CD1" w14:paraId="31ABDF8D" w14:textId="77777777">
        <w:trPr>
          <w:trHeight w:val="365"/>
          <w:jc w:val="center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E9E3" w:themeFill="accent5" w:themeFillTint="66"/>
            <w:vAlign w:val="center"/>
          </w:tcPr>
          <w:p w14:paraId="69DF2C1A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理论指导</w:t>
            </w:r>
          </w:p>
        </w:tc>
      </w:tr>
      <w:tr w:rsidR="006E4CD1" w14:paraId="193B6A12" w14:textId="77777777">
        <w:trPr>
          <w:trHeight w:val="746"/>
          <w:jc w:val="center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F299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14日</w:t>
            </w:r>
          </w:p>
          <w:p w14:paraId="4486B145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8E29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09:00-12:00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C2E4" w14:textId="77777777" w:rsidR="006E4CD1" w:rsidRDefault="00000000" w:rsidP="004C380B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专题报告：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如何提升继续教育干部的科研和教学水平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7261" w14:textId="77777777" w:rsidR="006E4CD1" w:rsidRDefault="00000000" w:rsidP="004C380B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 xml:space="preserve">孙  诚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中国教育科学研究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院职业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与继续教育研究所原所长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CD01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开元厅</w:t>
            </w:r>
          </w:p>
        </w:tc>
      </w:tr>
      <w:tr w:rsidR="006E4CD1" w14:paraId="1B4D52E8" w14:textId="77777777">
        <w:trPr>
          <w:trHeight w:val="678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EBB0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8CC9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14:30-17:00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F0A9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rPr>
                <w:rFonts w:ascii="仿宋" w:eastAsia="仿宋" w:hAnsi="仿宋" w:cs="黑体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专题报告：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非学历继续教育项目设计与研发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DC4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沈  </w:t>
            </w:r>
            <w:proofErr w:type="gramStart"/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晔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苏州大学继续教育学院副院长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4EC9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</w:pPr>
          </w:p>
        </w:tc>
      </w:tr>
      <w:tr w:rsidR="006E4CD1" w14:paraId="26A96FD7" w14:textId="77777777">
        <w:trPr>
          <w:trHeight w:val="633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589D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39B4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19:00-20:30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90D9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实战训练：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如何提升继续教育干部科研和教学水平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ADB2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6E4CD1" w14:paraId="6A87F252" w14:textId="77777777">
        <w:trPr>
          <w:trHeight w:val="365"/>
          <w:jc w:val="center"/>
        </w:trPr>
        <w:tc>
          <w:tcPr>
            <w:tcW w:w="1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E9E3" w:themeFill="accent5" w:themeFillTint="66"/>
            <w:vAlign w:val="center"/>
          </w:tcPr>
          <w:p w14:paraId="4D344D57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管理实践</w:t>
            </w:r>
          </w:p>
        </w:tc>
      </w:tr>
      <w:tr w:rsidR="006E4CD1" w14:paraId="239E85AD" w14:textId="77777777">
        <w:trPr>
          <w:trHeight w:val="1005"/>
          <w:jc w:val="center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2D52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15日</w:t>
            </w:r>
          </w:p>
          <w:p w14:paraId="439F9475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151C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08:30-09:30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AD63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现场教学：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浙江国际海运职业技术学院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7D1E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 xml:space="preserve">苏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峰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浙江国际海运职业技术学院东海教育学院院长、职业培训中心主任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ACAF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</w:p>
        </w:tc>
      </w:tr>
      <w:tr w:rsidR="006E4CD1" w14:paraId="50EA694C" w14:textId="77777777">
        <w:trPr>
          <w:trHeight w:val="1005"/>
          <w:jc w:val="center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F7FF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A350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09:30-11:30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E4F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专题报告：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如何设计贴合当地政府各委办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局需求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的培训项目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AC6B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夏志刚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浙江国际海运职业技术学院党委委员、副校长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580A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</w:p>
        </w:tc>
      </w:tr>
      <w:tr w:rsidR="006E4CD1" w14:paraId="7517D21C" w14:textId="77777777">
        <w:trPr>
          <w:trHeight w:val="726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7781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631B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14:30-17:00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FB71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现场教学：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沈家门成校、中化应急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岙山学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苑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08F8" w14:textId="77777777" w:rsidR="006E4CD1" w:rsidRDefault="00000000" w:rsidP="004C380B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 xml:space="preserve">苏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峰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浙江国际海运职业技术学院东海教育学院院长、职业培训中心主任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1A03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</w:p>
        </w:tc>
      </w:tr>
      <w:tr w:rsidR="006E4CD1" w14:paraId="552E07DE" w14:textId="77777777">
        <w:trPr>
          <w:trHeight w:val="777"/>
          <w:jc w:val="center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6107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0FE7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19:00-20:30</w:t>
            </w:r>
          </w:p>
        </w:tc>
        <w:tc>
          <w:tcPr>
            <w:tcW w:w="7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D9E5" w14:textId="77777777" w:rsidR="006E4CD1" w:rsidRDefault="00000000" w:rsidP="004C380B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分组研讨：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现场教学收获与体会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233F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6E4CD1" w14:paraId="41DCBBC4" w14:textId="77777777">
        <w:trPr>
          <w:trHeight w:val="671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C3A3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lastRenderedPageBreak/>
              <w:t>16日</w:t>
            </w:r>
          </w:p>
          <w:p w14:paraId="6C8E24F2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44DD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09:00-12:00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89F5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专题报告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：职业院校服务企业职工培训的实践与探索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5446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_GB2312" w:hAnsi="仿宋" w:cs="Times New Roman" w:hint="eastAsia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深圳职业技术大学医学技术与护理学院党委书记(原继续教育与培训学院院长）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B3DB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开元厅</w:t>
            </w:r>
          </w:p>
        </w:tc>
      </w:tr>
      <w:tr w:rsidR="006E4CD1" w14:paraId="69BC7159" w14:textId="77777777">
        <w:trPr>
          <w:trHeight w:val="671"/>
          <w:jc w:val="center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148F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14A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14:30-17:00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90EF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案例分享：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理顺机制,突破瓶颈,加快发展--从浙大模式到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城院模式</w:t>
            </w:r>
            <w:proofErr w:type="gramEnd"/>
            <w:r>
              <w:rPr>
                <w:rFonts w:ascii="仿宋" w:eastAsia="仿宋" w:hAnsi="仿宋" w:cs="仿宋_GB2312" w:hint="eastAsia"/>
                <w:sz w:val="24"/>
                <w:szCs w:val="24"/>
              </w:rPr>
              <w:t>的启示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272B" w14:textId="77777777" w:rsidR="006E4CD1" w:rsidRDefault="00000000" w:rsidP="004C380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童晓明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浙大城市学院继续教育学院院长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0AF" w14:textId="77777777" w:rsidR="006E4CD1" w:rsidRDefault="006E4CD1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</w:p>
        </w:tc>
      </w:tr>
      <w:tr w:rsidR="006E4CD1" w14:paraId="2589E913" w14:textId="77777777">
        <w:trPr>
          <w:trHeight w:val="671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5332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ACA2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19:00-20:30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AC46" w14:textId="77777777" w:rsidR="006E4CD1" w:rsidRDefault="00000000" w:rsidP="004C380B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分组研讨：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设计一个非学历继续教育项目并提交</w:t>
            </w:r>
          </w:p>
        </w:tc>
      </w:tr>
      <w:tr w:rsidR="006E4CD1" w14:paraId="78C25DB0" w14:textId="77777777">
        <w:trPr>
          <w:trHeight w:val="998"/>
          <w:jc w:val="center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A1B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17日</w:t>
            </w:r>
          </w:p>
          <w:p w14:paraId="638ABD3B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周五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EF4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09:00-12:00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5D68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交流分享：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学员代表分享研讨成果和学习体会（每组1名代表）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45A8" w14:textId="77777777" w:rsidR="006E4CD1" w:rsidRDefault="00000000" w:rsidP="004C380B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全体学员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26ED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开元厅</w:t>
            </w:r>
          </w:p>
        </w:tc>
      </w:tr>
      <w:tr w:rsidR="006E4CD1" w14:paraId="6F4914E4" w14:textId="77777777">
        <w:trPr>
          <w:trHeight w:val="678"/>
          <w:jc w:val="center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1210" w14:textId="77777777" w:rsidR="006E4CD1" w:rsidRDefault="006E4CD1" w:rsidP="004C380B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C3A7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14:00-17:00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7AF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文化浸润</w:t>
            </w:r>
          </w:p>
        </w:tc>
      </w:tr>
      <w:tr w:rsidR="006E4CD1" w14:paraId="33405D7A" w14:textId="77777777">
        <w:trPr>
          <w:trHeight w:val="872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5361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18日</w:t>
            </w:r>
          </w:p>
          <w:p w14:paraId="3792A773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周六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C03F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全天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FB7" w14:textId="77777777" w:rsidR="006E4CD1" w:rsidRDefault="00000000" w:rsidP="004C380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bidi="ar"/>
              </w:rPr>
              <w:t>返程</w:t>
            </w:r>
          </w:p>
        </w:tc>
      </w:tr>
    </w:tbl>
    <w:p w14:paraId="474EDDAC" w14:textId="77777777" w:rsidR="006E4CD1" w:rsidRDefault="00000000" w:rsidP="004C380B">
      <w:pPr>
        <w:rPr>
          <w:rFonts w:ascii="仿宋" w:eastAsia="仿宋" w:hAnsi="仿宋" w:cs="Times New Roman" w:hint="eastAsia"/>
          <w:sz w:val="22"/>
          <w:lang w:bidi="ar"/>
        </w:rPr>
      </w:pPr>
      <w:r>
        <w:rPr>
          <w:rFonts w:ascii="仿宋" w:eastAsia="仿宋" w:hAnsi="仿宋" w:cs="Times New Roman" w:hint="eastAsia"/>
          <w:sz w:val="22"/>
          <w:lang w:bidi="ar"/>
        </w:rPr>
        <w:t>注：本日程中</w:t>
      </w:r>
      <w:r>
        <w:rPr>
          <w:rFonts w:ascii="仿宋" w:eastAsia="仿宋" w:hAnsi="仿宋" w:cs="Times New Roman"/>
          <w:sz w:val="22"/>
          <w:lang w:bidi="ar"/>
        </w:rPr>
        <w:t>专家与</w:t>
      </w:r>
      <w:r>
        <w:rPr>
          <w:rFonts w:ascii="仿宋" w:eastAsia="仿宋" w:hAnsi="仿宋" w:cs="Times New Roman" w:hint="eastAsia"/>
          <w:sz w:val="22"/>
          <w:lang w:bidi="ar"/>
        </w:rPr>
        <w:t>讲座主题</w:t>
      </w:r>
      <w:r>
        <w:rPr>
          <w:rFonts w:ascii="仿宋" w:eastAsia="仿宋" w:hAnsi="仿宋" w:cs="Times New Roman"/>
          <w:sz w:val="22"/>
          <w:lang w:bidi="ar"/>
        </w:rPr>
        <w:t>均为计划安排，请以实际执行的手册为准。</w:t>
      </w:r>
    </w:p>
    <w:p w14:paraId="379AECD9" w14:textId="77777777" w:rsidR="006E4CD1" w:rsidRDefault="00000000" w:rsidP="004C380B">
      <w:pPr>
        <w:widowControl/>
        <w:jc w:val="left"/>
        <w:rPr>
          <w:rFonts w:ascii="仿宋" w:eastAsia="仿宋" w:hAnsi="仿宋" w:cs="Times New Roman" w:hint="eastAsia"/>
          <w:sz w:val="30"/>
          <w:szCs w:val="30"/>
          <w:lang w:bidi="ar"/>
        </w:rPr>
      </w:pPr>
      <w:r>
        <w:rPr>
          <w:rFonts w:ascii="仿宋" w:eastAsia="仿宋" w:hAnsi="仿宋" w:cs="Times New Roman" w:hint="eastAsia"/>
          <w:sz w:val="30"/>
          <w:szCs w:val="30"/>
          <w:lang w:bidi="ar"/>
        </w:rPr>
        <w:br w:type="page"/>
      </w:r>
    </w:p>
    <w:p w14:paraId="4D7D00BF" w14:textId="77777777" w:rsidR="006E4CD1" w:rsidRDefault="006E4CD1" w:rsidP="004C380B">
      <w:pPr>
        <w:rPr>
          <w:rFonts w:ascii="仿宋" w:eastAsia="仿宋" w:hAnsi="仿宋" w:hint="eastAsia"/>
          <w:sz w:val="30"/>
          <w:szCs w:val="30"/>
        </w:rPr>
        <w:sectPr w:rsidR="006E4CD1" w:rsidSect="00BD59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4F9276E7" w14:textId="77777777" w:rsidR="006E4CD1" w:rsidRDefault="00000000" w:rsidP="004C380B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附件2：</w:t>
      </w:r>
    </w:p>
    <w:p w14:paraId="40E85BC0" w14:textId="77777777" w:rsidR="006E4CD1" w:rsidRDefault="00000000" w:rsidP="004C380B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第二期继续教育高质量发展专题研修班报名回执表</w:t>
      </w:r>
    </w:p>
    <w:tbl>
      <w:tblPr>
        <w:tblStyle w:val="TableNormal"/>
        <w:tblW w:w="138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289"/>
        <w:gridCol w:w="2187"/>
        <w:gridCol w:w="1823"/>
        <w:gridCol w:w="1599"/>
        <w:gridCol w:w="234"/>
        <w:gridCol w:w="1915"/>
        <w:gridCol w:w="1620"/>
      </w:tblGrid>
      <w:tr w:rsidR="006E4CD1" w14:paraId="35A567EE" w14:textId="77777777">
        <w:trPr>
          <w:trHeight w:val="494"/>
        </w:trPr>
        <w:tc>
          <w:tcPr>
            <w:tcW w:w="1191" w:type="dxa"/>
            <w:vAlign w:val="center"/>
          </w:tcPr>
          <w:p w14:paraId="2D14BACE" w14:textId="77777777" w:rsidR="006E4CD1" w:rsidRDefault="00000000" w:rsidP="004C380B">
            <w:pPr>
              <w:spacing w:before="127" w:line="228" w:lineRule="auto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3289" w:type="dxa"/>
            <w:vAlign w:val="center"/>
          </w:tcPr>
          <w:p w14:paraId="0F4F3373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87" w:type="dxa"/>
            <w:vAlign w:val="center"/>
          </w:tcPr>
          <w:p w14:paraId="6C75889C" w14:textId="77777777" w:rsidR="006E4CD1" w:rsidRDefault="00000000" w:rsidP="004C380B">
            <w:pPr>
              <w:spacing w:before="127" w:line="228" w:lineRule="auto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及职务</w:t>
            </w: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*</w:t>
            </w:r>
          </w:p>
        </w:tc>
        <w:tc>
          <w:tcPr>
            <w:tcW w:w="3656" w:type="dxa"/>
            <w:gridSpan w:val="3"/>
            <w:vAlign w:val="center"/>
          </w:tcPr>
          <w:p w14:paraId="7406AD99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15" w:type="dxa"/>
            <w:vAlign w:val="center"/>
          </w:tcPr>
          <w:p w14:paraId="3F3EBA32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联系电话*</w:t>
            </w:r>
          </w:p>
        </w:tc>
        <w:tc>
          <w:tcPr>
            <w:tcW w:w="1620" w:type="dxa"/>
            <w:vAlign w:val="center"/>
          </w:tcPr>
          <w:p w14:paraId="6479F47E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6E4CD1" w14:paraId="484E72C0" w14:textId="77777777">
        <w:trPr>
          <w:trHeight w:val="460"/>
        </w:trPr>
        <w:tc>
          <w:tcPr>
            <w:tcW w:w="1191" w:type="dxa"/>
            <w:vAlign w:val="center"/>
          </w:tcPr>
          <w:p w14:paraId="2590ED5B" w14:textId="77777777" w:rsidR="006E4CD1" w:rsidRDefault="00000000" w:rsidP="004C380B">
            <w:pPr>
              <w:spacing w:before="127" w:line="228" w:lineRule="auto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姓名*</w:t>
            </w:r>
          </w:p>
        </w:tc>
        <w:tc>
          <w:tcPr>
            <w:tcW w:w="5476" w:type="dxa"/>
            <w:gridSpan w:val="2"/>
            <w:vAlign w:val="center"/>
          </w:tcPr>
          <w:p w14:paraId="43EE7202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所在单位*</w:t>
            </w:r>
          </w:p>
        </w:tc>
        <w:tc>
          <w:tcPr>
            <w:tcW w:w="1823" w:type="dxa"/>
          </w:tcPr>
          <w:p w14:paraId="2D98882D" w14:textId="77777777" w:rsidR="006E4CD1" w:rsidRDefault="00000000" w:rsidP="004C380B">
            <w:pPr>
              <w:spacing w:before="127" w:line="228" w:lineRule="auto"/>
              <w:ind w:firstLine="400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职务/职称*</w:t>
            </w:r>
          </w:p>
        </w:tc>
        <w:tc>
          <w:tcPr>
            <w:tcW w:w="1599" w:type="dxa"/>
          </w:tcPr>
          <w:p w14:paraId="4FACEAD5" w14:textId="77777777" w:rsidR="006E4CD1" w:rsidRDefault="00000000" w:rsidP="004C380B">
            <w:pPr>
              <w:spacing w:before="127" w:line="228" w:lineRule="auto"/>
              <w:ind w:firstLine="400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手机号码*</w:t>
            </w:r>
          </w:p>
        </w:tc>
        <w:tc>
          <w:tcPr>
            <w:tcW w:w="2149" w:type="dxa"/>
            <w:gridSpan w:val="2"/>
            <w:vAlign w:val="center"/>
          </w:tcPr>
          <w:p w14:paraId="37B9C7F8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邮箱*</w:t>
            </w:r>
          </w:p>
        </w:tc>
        <w:tc>
          <w:tcPr>
            <w:tcW w:w="1620" w:type="dxa"/>
          </w:tcPr>
          <w:p w14:paraId="6D393FB8" w14:textId="77777777" w:rsidR="006E4CD1" w:rsidRDefault="00000000" w:rsidP="004C380B">
            <w:pPr>
              <w:spacing w:before="127" w:line="228" w:lineRule="auto"/>
              <w:ind w:firstLine="400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是否单住*</w:t>
            </w:r>
          </w:p>
        </w:tc>
      </w:tr>
      <w:tr w:rsidR="006E4CD1" w14:paraId="0530A365" w14:textId="77777777">
        <w:trPr>
          <w:trHeight w:val="460"/>
        </w:trPr>
        <w:tc>
          <w:tcPr>
            <w:tcW w:w="1191" w:type="dxa"/>
          </w:tcPr>
          <w:p w14:paraId="049501CD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6372C4FA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23" w:type="dxa"/>
          </w:tcPr>
          <w:p w14:paraId="44FB8ACE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99" w:type="dxa"/>
          </w:tcPr>
          <w:p w14:paraId="0108CE77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9E56599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620" w:type="dxa"/>
          </w:tcPr>
          <w:p w14:paraId="00778B88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6E4CD1" w14:paraId="201BBD29" w14:textId="77777777">
        <w:trPr>
          <w:trHeight w:val="460"/>
        </w:trPr>
        <w:tc>
          <w:tcPr>
            <w:tcW w:w="1191" w:type="dxa"/>
          </w:tcPr>
          <w:p w14:paraId="35F91C01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30B42E2F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0B5C972C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14:paraId="7A201B25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3CBE4211" w14:textId="77777777" w:rsidR="006E4CD1" w:rsidRDefault="006E4CD1" w:rsidP="004C380B">
            <w:pPr>
              <w:ind w:firstLine="360"/>
              <w:jc w:val="center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9F9681B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</w:tr>
      <w:tr w:rsidR="006E4CD1" w14:paraId="24CA890D" w14:textId="77777777">
        <w:trPr>
          <w:trHeight w:val="460"/>
        </w:trPr>
        <w:tc>
          <w:tcPr>
            <w:tcW w:w="1191" w:type="dxa"/>
          </w:tcPr>
          <w:p w14:paraId="63349034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476" w:type="dxa"/>
            <w:gridSpan w:val="2"/>
          </w:tcPr>
          <w:p w14:paraId="728D1193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28E829D1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14:paraId="6D9902AD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22089931" w14:textId="77777777" w:rsidR="006E4CD1" w:rsidRDefault="006E4CD1" w:rsidP="004C380B">
            <w:pPr>
              <w:ind w:firstLine="360"/>
              <w:jc w:val="center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EE9A778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</w:tr>
      <w:tr w:rsidR="006E4CD1" w14:paraId="12B9A5AC" w14:textId="77777777">
        <w:trPr>
          <w:trHeight w:val="460"/>
        </w:trPr>
        <w:tc>
          <w:tcPr>
            <w:tcW w:w="1191" w:type="dxa"/>
            <w:vMerge w:val="restart"/>
            <w:tcBorders>
              <w:bottom w:val="nil"/>
            </w:tcBorders>
          </w:tcPr>
          <w:p w14:paraId="08F88521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117E874" w14:textId="77777777" w:rsidR="006E4CD1" w:rsidRDefault="00000000" w:rsidP="004C380B">
            <w:pPr>
              <w:spacing w:before="127" w:line="228" w:lineRule="auto"/>
              <w:ind w:firstLineChars="100" w:firstLine="200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发票信息*</w:t>
            </w:r>
          </w:p>
        </w:tc>
        <w:tc>
          <w:tcPr>
            <w:tcW w:w="3289" w:type="dxa"/>
            <w:vAlign w:val="center"/>
          </w:tcPr>
          <w:p w14:paraId="4D3D7D16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单位名称*</w:t>
            </w:r>
          </w:p>
        </w:tc>
        <w:tc>
          <w:tcPr>
            <w:tcW w:w="2187" w:type="dxa"/>
          </w:tcPr>
          <w:p w14:paraId="4AF491C1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23886E02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纳税人识别号*</w:t>
            </w:r>
          </w:p>
        </w:tc>
        <w:tc>
          <w:tcPr>
            <w:tcW w:w="5368" w:type="dxa"/>
            <w:gridSpan w:val="4"/>
          </w:tcPr>
          <w:p w14:paraId="43F114D9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</w:tr>
      <w:tr w:rsidR="006E4CD1" w14:paraId="4F7455AE" w14:textId="77777777">
        <w:trPr>
          <w:trHeight w:val="679"/>
        </w:trPr>
        <w:tc>
          <w:tcPr>
            <w:tcW w:w="1191" w:type="dxa"/>
            <w:vMerge/>
            <w:tcBorders>
              <w:top w:val="nil"/>
              <w:bottom w:val="nil"/>
            </w:tcBorders>
          </w:tcPr>
          <w:p w14:paraId="77156CFB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vAlign w:val="center"/>
          </w:tcPr>
          <w:p w14:paraId="0C02CD8D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地址、 电话</w:t>
            </w:r>
          </w:p>
        </w:tc>
        <w:tc>
          <w:tcPr>
            <w:tcW w:w="2187" w:type="dxa"/>
          </w:tcPr>
          <w:p w14:paraId="62945125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</w:tcPr>
          <w:p w14:paraId="6EF9D7BF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</w:t>
            </w:r>
            <w:proofErr w:type="gramStart"/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行信息</w:t>
            </w:r>
            <w:proofErr w:type="gramEnd"/>
          </w:p>
        </w:tc>
        <w:tc>
          <w:tcPr>
            <w:tcW w:w="5368" w:type="dxa"/>
            <w:gridSpan w:val="4"/>
          </w:tcPr>
          <w:p w14:paraId="01D6BC64" w14:textId="77777777" w:rsidR="006E4CD1" w:rsidRDefault="00000000" w:rsidP="004C380B">
            <w:pPr>
              <w:spacing w:before="51" w:line="312" w:lineRule="exact"/>
              <w:ind w:left="115" w:firstLine="38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position w:val="7"/>
                <w:sz w:val="18"/>
                <w:szCs w:val="18"/>
              </w:rPr>
              <w:t>开户行</w:t>
            </w:r>
            <w:r>
              <w:rPr>
                <w:rFonts w:ascii="宋体" w:eastAsia="宋体" w:hAnsi="宋体" w:cs="宋体"/>
                <w:spacing w:val="4"/>
                <w:position w:val="7"/>
                <w:sz w:val="18"/>
                <w:szCs w:val="18"/>
              </w:rPr>
              <w:t>：</w:t>
            </w:r>
          </w:p>
          <w:p w14:paraId="26060180" w14:textId="77777777" w:rsidR="006E4CD1" w:rsidRDefault="00000000" w:rsidP="004C380B">
            <w:pPr>
              <w:spacing w:line="229" w:lineRule="auto"/>
              <w:ind w:left="118" w:firstLine="36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账号：</w:t>
            </w:r>
          </w:p>
        </w:tc>
      </w:tr>
      <w:tr w:rsidR="006E4CD1" w14:paraId="5CB56601" w14:textId="77777777">
        <w:trPr>
          <w:trHeight w:val="378"/>
        </w:trPr>
        <w:tc>
          <w:tcPr>
            <w:tcW w:w="1191" w:type="dxa"/>
            <w:vMerge/>
            <w:tcBorders>
              <w:top w:val="nil"/>
            </w:tcBorders>
          </w:tcPr>
          <w:p w14:paraId="3D07DE4F" w14:textId="77777777" w:rsidR="006E4CD1" w:rsidRDefault="006E4CD1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vAlign w:val="center"/>
          </w:tcPr>
          <w:p w14:paraId="71E85E54" w14:textId="77777777" w:rsidR="006E4CD1" w:rsidRDefault="00000000" w:rsidP="004C380B">
            <w:pPr>
              <w:spacing w:before="127" w:line="228" w:lineRule="auto"/>
              <w:ind w:firstLine="400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服务名称 (</w:t>
            </w:r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会务费/培训费，二选</w:t>
            </w:r>
            <w:proofErr w:type="gramStart"/>
            <w:r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 *</w:t>
            </w:r>
          </w:p>
        </w:tc>
        <w:tc>
          <w:tcPr>
            <w:tcW w:w="9378" w:type="dxa"/>
            <w:gridSpan w:val="6"/>
          </w:tcPr>
          <w:p w14:paraId="7A77B05A" w14:textId="77777777" w:rsidR="006E4CD1" w:rsidRDefault="00000000" w:rsidP="004C380B">
            <w:pPr>
              <w:spacing w:before="81" w:line="300" w:lineRule="exact"/>
              <w:ind w:firstLine="360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必填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会务费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培训费</w:t>
            </w:r>
          </w:p>
        </w:tc>
      </w:tr>
      <w:tr w:rsidR="006E4CD1" w14:paraId="1081AABB" w14:textId="77777777">
        <w:trPr>
          <w:trHeight w:val="748"/>
        </w:trPr>
        <w:tc>
          <w:tcPr>
            <w:tcW w:w="1191" w:type="dxa"/>
            <w:vAlign w:val="center"/>
          </w:tcPr>
          <w:p w14:paraId="36171133" w14:textId="77777777" w:rsidR="006E4CD1" w:rsidRDefault="00000000" w:rsidP="004C380B">
            <w:pPr>
              <w:spacing w:before="127" w:line="228" w:lineRule="auto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友情提示</w:t>
            </w:r>
          </w:p>
        </w:tc>
        <w:tc>
          <w:tcPr>
            <w:tcW w:w="12667" w:type="dxa"/>
            <w:gridSpan w:val="7"/>
          </w:tcPr>
          <w:p w14:paraId="2DFBAD64" w14:textId="77777777" w:rsidR="006E4CD1" w:rsidRDefault="00000000" w:rsidP="004C380B">
            <w:pPr>
              <w:spacing w:before="54" w:line="227" w:lineRule="auto"/>
              <w:ind w:left="149" w:firstLine="4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(1) 如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参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会人员较多，请自行绘制表格后按照以上格式填写。请各</w:t>
            </w:r>
            <w:r>
              <w:rPr>
                <w:rFonts w:ascii="宋体" w:eastAsia="宋体" w:hAnsi="宋体" w:cs="宋体" w:hint="eastAsia"/>
                <w:spacing w:val="8"/>
                <w:sz w:val="18"/>
                <w:szCs w:val="18"/>
              </w:rPr>
              <w:t>参会人员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自行安排返程时间，如需要帮助请与会务组电话</w:t>
            </w: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或微信联系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。</w:t>
            </w:r>
          </w:p>
          <w:p w14:paraId="2B37A354" w14:textId="77777777" w:rsidR="006E4CD1" w:rsidRDefault="00000000" w:rsidP="004C380B">
            <w:pPr>
              <w:spacing w:before="66" w:line="227" w:lineRule="auto"/>
              <w:ind w:left="149" w:firstLine="424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6"/>
                <w:sz w:val="18"/>
                <w:szCs w:val="18"/>
              </w:rPr>
              <w:t>(2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) 提前电汇会务费的，报名时请携带汇款凭证复印件。发票</w:t>
            </w: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抬头请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正确填写，要求填纳税人识别号。</w:t>
            </w:r>
          </w:p>
        </w:tc>
      </w:tr>
      <w:tr w:rsidR="006E4CD1" w14:paraId="3BDFB181" w14:textId="77777777">
        <w:trPr>
          <w:trHeight w:val="488"/>
        </w:trPr>
        <w:tc>
          <w:tcPr>
            <w:tcW w:w="1191" w:type="dxa"/>
            <w:vAlign w:val="center"/>
          </w:tcPr>
          <w:p w14:paraId="597F79E9" w14:textId="77777777" w:rsidR="006E4CD1" w:rsidRDefault="00000000" w:rsidP="004C380B">
            <w:pPr>
              <w:spacing w:before="127" w:line="228" w:lineRule="auto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会议费用</w:t>
            </w:r>
          </w:p>
        </w:tc>
        <w:tc>
          <w:tcPr>
            <w:tcW w:w="12667" w:type="dxa"/>
            <w:gridSpan w:val="7"/>
          </w:tcPr>
          <w:p w14:paraId="0A74BF68" w14:textId="77777777" w:rsidR="006E4CD1" w:rsidRDefault="00000000" w:rsidP="004C380B">
            <w:pPr>
              <w:spacing w:before="145" w:line="228" w:lineRule="auto"/>
              <w:ind w:left="111" w:firstLine="40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2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/>
                <w:spacing w:val="1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 xml:space="preserve"> 人，费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(含</w:t>
            </w:r>
            <w:r>
              <w:rPr>
                <w:rFonts w:ascii="宋体" w:eastAsia="宋体" w:hAnsi="宋体" w:cs="宋体" w:hint="eastAsia"/>
                <w:spacing w:val="6"/>
                <w:sz w:val="18"/>
                <w:szCs w:val="18"/>
              </w:rPr>
              <w:t>餐费、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专家授课费、培训资料费、场地费等)  共计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元。住宿费、交通费自理。</w:t>
            </w:r>
          </w:p>
        </w:tc>
      </w:tr>
      <w:tr w:rsidR="006E4CD1" w14:paraId="30C6F14D" w14:textId="77777777">
        <w:trPr>
          <w:trHeight w:val="673"/>
        </w:trPr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14:paraId="0FA96899" w14:textId="77777777" w:rsidR="006E4CD1" w:rsidRDefault="00000000" w:rsidP="004C380B">
            <w:pPr>
              <w:spacing w:before="127" w:line="228" w:lineRule="auto"/>
              <w:jc w:val="center"/>
              <w:rPr>
                <w:rFonts w:ascii="宋体" w:eastAsia="宋体" w:hAnsi="宋体" w:cs="宋体" w:hint="eastAsia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收费信息</w:t>
            </w:r>
          </w:p>
        </w:tc>
        <w:tc>
          <w:tcPr>
            <w:tcW w:w="5476" w:type="dxa"/>
            <w:gridSpan w:val="2"/>
          </w:tcPr>
          <w:p w14:paraId="711E7B0A" w14:textId="77777777" w:rsidR="006E4CD1" w:rsidRDefault="00000000" w:rsidP="004C380B">
            <w:pPr>
              <w:spacing w:before="211" w:line="228" w:lineRule="auto"/>
              <w:ind w:left="115" w:firstLine="39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账户名称：中国成人教育协会</w:t>
            </w:r>
          </w:p>
        </w:tc>
        <w:tc>
          <w:tcPr>
            <w:tcW w:w="7191" w:type="dxa"/>
            <w:gridSpan w:val="5"/>
          </w:tcPr>
          <w:p w14:paraId="39631715" w14:textId="77777777" w:rsidR="006E4CD1" w:rsidRDefault="00000000" w:rsidP="004C380B">
            <w:pPr>
              <w:spacing w:before="55" w:line="228" w:lineRule="auto"/>
              <w:ind w:left="113" w:firstLine="42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5"/>
                <w:sz w:val="18"/>
                <w:szCs w:val="18"/>
              </w:rPr>
              <w:t>开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户银行：中国工商银行北京德外支行</w:t>
            </w:r>
          </w:p>
          <w:p w14:paraId="29796290" w14:textId="77777777" w:rsidR="006E4CD1" w:rsidRDefault="00000000" w:rsidP="004C380B">
            <w:pPr>
              <w:spacing w:before="65" w:line="228" w:lineRule="auto"/>
              <w:ind w:left="116" w:firstLine="39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 xml:space="preserve">    号：1021 0000 0136</w:t>
            </w:r>
          </w:p>
        </w:tc>
      </w:tr>
      <w:tr w:rsidR="006E4CD1" w14:paraId="61D90FFE" w14:textId="77777777">
        <w:trPr>
          <w:trHeight w:val="430"/>
        </w:trPr>
        <w:tc>
          <w:tcPr>
            <w:tcW w:w="1191" w:type="dxa"/>
            <w:vMerge/>
            <w:tcBorders>
              <w:top w:val="nil"/>
            </w:tcBorders>
          </w:tcPr>
          <w:p w14:paraId="5B23D948" w14:textId="77777777" w:rsidR="006E4CD1" w:rsidRDefault="006E4CD1" w:rsidP="004C380B">
            <w:pPr>
              <w:ind w:firstLine="360"/>
              <w:rPr>
                <w:rFonts w:ascii="Arial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76" w:type="dxa"/>
            <w:gridSpan w:val="2"/>
          </w:tcPr>
          <w:p w14:paraId="095395D9" w14:textId="77777777" w:rsidR="006E4CD1" w:rsidRDefault="00000000" w:rsidP="004C380B">
            <w:pPr>
              <w:spacing w:before="108" w:line="228" w:lineRule="auto"/>
              <w:ind w:left="113" w:firstLine="40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</w:rPr>
              <w:t>银行账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号：0200 0013 0902 0242 467</w:t>
            </w:r>
          </w:p>
        </w:tc>
        <w:tc>
          <w:tcPr>
            <w:tcW w:w="7191" w:type="dxa"/>
            <w:gridSpan w:val="5"/>
          </w:tcPr>
          <w:p w14:paraId="66A84E84" w14:textId="77777777" w:rsidR="006E4CD1" w:rsidRDefault="00000000" w:rsidP="004C380B">
            <w:pPr>
              <w:spacing w:before="55" w:line="228" w:lineRule="auto"/>
              <w:ind w:left="113" w:firstLine="396"/>
              <w:rPr>
                <w:rFonts w:ascii="宋体" w:eastAsia="宋体" w:hAnsi="宋体" w:cs="宋体" w:hint="eastAsia"/>
                <w:spacing w:val="9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汇款时务必标注：</w:t>
            </w:r>
            <w:r>
              <w:rPr>
                <w:rFonts w:ascii="宋体" w:eastAsia="宋体" w:hAnsi="宋体" w:cs="宋体" w:hint="eastAsia"/>
                <w:spacing w:val="9"/>
                <w:sz w:val="18"/>
                <w:szCs w:val="18"/>
                <w:lang w:bidi="ar"/>
              </w:rPr>
              <w:t>第二期继续教育高质量发展专题研修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  <w:lang w:bidi="ar"/>
              </w:rPr>
              <w:t>费用</w:t>
            </w:r>
          </w:p>
        </w:tc>
      </w:tr>
    </w:tbl>
    <w:p w14:paraId="5F476EA5" w14:textId="77777777" w:rsidR="006E4CD1" w:rsidRDefault="006E4CD1" w:rsidP="004C380B">
      <w:pPr>
        <w:rPr>
          <w:rFonts w:ascii="仿宋" w:eastAsia="仿宋" w:hAnsi="仿宋" w:hint="eastAsia"/>
          <w:sz w:val="30"/>
          <w:szCs w:val="30"/>
        </w:rPr>
      </w:pPr>
    </w:p>
    <w:sectPr w:rsidR="006E4CD1" w:rsidSect="00BD5922">
      <w:pgSz w:w="16838" w:h="11906" w:orient="landscape"/>
      <w:pgMar w:top="1627" w:right="1440" w:bottom="162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2C2C" w14:textId="77777777" w:rsidR="00441D39" w:rsidRDefault="00441D39">
      <w:r>
        <w:separator/>
      </w:r>
    </w:p>
  </w:endnote>
  <w:endnote w:type="continuationSeparator" w:id="0">
    <w:p w14:paraId="182E7315" w14:textId="77777777" w:rsidR="00441D39" w:rsidRDefault="004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ADA8AAA-4156-4F1A-8FAA-534669293F2A}"/>
    <w:embedBold r:id="rId2" w:subsetted="1" w:fontKey="{A0C13729-F390-4554-874A-07A25F74F9B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659E8C2-898F-41B5-96C9-73DF60E1053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900E692-283F-4802-AFCC-71CA191CB4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FCBB703-D7E6-4788-9214-5F5EFAEB099F}"/>
    <w:embedBold r:id="rId6" w:subsetted="1" w:fontKey="{1DFF3DB3-79DB-4FD6-A803-3320F6306CB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4AC7E0B-F68A-4E9F-9013-B3C813418AA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F52A" w14:textId="77777777" w:rsidR="006E5FC4" w:rsidRDefault="006E5F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0306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B58D2B" w14:textId="6A0944F2" w:rsidR="006E5FC4" w:rsidRDefault="006E5FC4">
            <w:pPr>
              <w:pStyle w:val="a4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EC346" w14:textId="5B0955CE" w:rsidR="006E4CD1" w:rsidRDefault="006E4CD1">
    <w:pPr>
      <w:pStyle w:val="a4"/>
      <w:ind w:firstLine="36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EF1C" w14:textId="77777777" w:rsidR="006E5FC4" w:rsidRDefault="006E5F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BEFCF" w14:textId="77777777" w:rsidR="00441D39" w:rsidRDefault="00441D39">
      <w:r>
        <w:separator/>
      </w:r>
    </w:p>
  </w:footnote>
  <w:footnote w:type="continuationSeparator" w:id="0">
    <w:p w14:paraId="38C90CF3" w14:textId="77777777" w:rsidR="00441D39" w:rsidRDefault="0044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D968" w14:textId="77777777" w:rsidR="006E5FC4" w:rsidRDefault="006E5F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A0355" w14:textId="77777777" w:rsidR="006E5FC4" w:rsidRPr="00BD5922" w:rsidRDefault="006E5FC4" w:rsidP="00BD59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3BC9" w14:textId="77777777" w:rsidR="006E5FC4" w:rsidRPr="00BD5922" w:rsidRDefault="006E5FC4" w:rsidP="00BD59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kN2JlNmVhMzAzZTZjMTc2MWYwODI5M2M4NWYzY2QifQ=="/>
  </w:docVars>
  <w:rsids>
    <w:rsidRoot w:val="1F735146"/>
    <w:rsid w:val="00032AD0"/>
    <w:rsid w:val="00032AD7"/>
    <w:rsid w:val="000B1DF6"/>
    <w:rsid w:val="00143BF5"/>
    <w:rsid w:val="00164690"/>
    <w:rsid w:val="00190E20"/>
    <w:rsid w:val="001B238B"/>
    <w:rsid w:val="001B34C4"/>
    <w:rsid w:val="001C0200"/>
    <w:rsid w:val="0027624C"/>
    <w:rsid w:val="00303AEB"/>
    <w:rsid w:val="00344E69"/>
    <w:rsid w:val="003A5E99"/>
    <w:rsid w:val="003D6275"/>
    <w:rsid w:val="0040019A"/>
    <w:rsid w:val="00405858"/>
    <w:rsid w:val="00441D39"/>
    <w:rsid w:val="00496CC7"/>
    <w:rsid w:val="004B4291"/>
    <w:rsid w:val="004C380B"/>
    <w:rsid w:val="004D459B"/>
    <w:rsid w:val="004F09E0"/>
    <w:rsid w:val="00544899"/>
    <w:rsid w:val="00572C7F"/>
    <w:rsid w:val="00610597"/>
    <w:rsid w:val="00635159"/>
    <w:rsid w:val="006E4CD1"/>
    <w:rsid w:val="006E5FC4"/>
    <w:rsid w:val="00735B55"/>
    <w:rsid w:val="007D6A26"/>
    <w:rsid w:val="00802A31"/>
    <w:rsid w:val="00832411"/>
    <w:rsid w:val="0084278D"/>
    <w:rsid w:val="00843F75"/>
    <w:rsid w:val="0086020A"/>
    <w:rsid w:val="00880737"/>
    <w:rsid w:val="00897C4A"/>
    <w:rsid w:val="008C119E"/>
    <w:rsid w:val="008E5C92"/>
    <w:rsid w:val="00977D2B"/>
    <w:rsid w:val="009C1B55"/>
    <w:rsid w:val="009D4BA1"/>
    <w:rsid w:val="009E4DE1"/>
    <w:rsid w:val="009E71BF"/>
    <w:rsid w:val="00A45BD5"/>
    <w:rsid w:val="00A467A4"/>
    <w:rsid w:val="00AE3B05"/>
    <w:rsid w:val="00BC4F5A"/>
    <w:rsid w:val="00BD5922"/>
    <w:rsid w:val="00C30D02"/>
    <w:rsid w:val="00CB593F"/>
    <w:rsid w:val="00E44A7E"/>
    <w:rsid w:val="00E46877"/>
    <w:rsid w:val="00E53E03"/>
    <w:rsid w:val="00E63AF4"/>
    <w:rsid w:val="00EC3F17"/>
    <w:rsid w:val="00F852F8"/>
    <w:rsid w:val="00FA18A2"/>
    <w:rsid w:val="00FD31FA"/>
    <w:rsid w:val="00FE66C6"/>
    <w:rsid w:val="00FF2576"/>
    <w:rsid w:val="00FF67D3"/>
    <w:rsid w:val="01A050EF"/>
    <w:rsid w:val="042F4508"/>
    <w:rsid w:val="049D3B67"/>
    <w:rsid w:val="05EF21A1"/>
    <w:rsid w:val="09840E52"/>
    <w:rsid w:val="0A344626"/>
    <w:rsid w:val="0B837613"/>
    <w:rsid w:val="0E40138D"/>
    <w:rsid w:val="0F130CAE"/>
    <w:rsid w:val="0F274759"/>
    <w:rsid w:val="136A10B9"/>
    <w:rsid w:val="14C34F24"/>
    <w:rsid w:val="15AB0046"/>
    <w:rsid w:val="162B2C06"/>
    <w:rsid w:val="16AB5C70"/>
    <w:rsid w:val="188B5D59"/>
    <w:rsid w:val="1A5328A6"/>
    <w:rsid w:val="1D570900"/>
    <w:rsid w:val="1D9B4C90"/>
    <w:rsid w:val="1F735146"/>
    <w:rsid w:val="21154D5A"/>
    <w:rsid w:val="215A5CC8"/>
    <w:rsid w:val="22C34341"/>
    <w:rsid w:val="22EF5136"/>
    <w:rsid w:val="29311631"/>
    <w:rsid w:val="2C4209CD"/>
    <w:rsid w:val="2D141A60"/>
    <w:rsid w:val="2DFE0923"/>
    <w:rsid w:val="31CC3212"/>
    <w:rsid w:val="330C5891"/>
    <w:rsid w:val="33D43070"/>
    <w:rsid w:val="37AE1820"/>
    <w:rsid w:val="38477E5A"/>
    <w:rsid w:val="38615422"/>
    <w:rsid w:val="39ED01CA"/>
    <w:rsid w:val="3BCA3823"/>
    <w:rsid w:val="43E97B87"/>
    <w:rsid w:val="448F7DDB"/>
    <w:rsid w:val="44E16B7D"/>
    <w:rsid w:val="45E306D3"/>
    <w:rsid w:val="471A45C8"/>
    <w:rsid w:val="49A60395"/>
    <w:rsid w:val="4C4579F1"/>
    <w:rsid w:val="4C8F3647"/>
    <w:rsid w:val="4DEB281B"/>
    <w:rsid w:val="4F603499"/>
    <w:rsid w:val="52F15B73"/>
    <w:rsid w:val="53E509F0"/>
    <w:rsid w:val="561F3B4A"/>
    <w:rsid w:val="5BC722AB"/>
    <w:rsid w:val="5DCA41FA"/>
    <w:rsid w:val="5F3C2ED6"/>
    <w:rsid w:val="61F45CEA"/>
    <w:rsid w:val="65931376"/>
    <w:rsid w:val="65BA2DA7"/>
    <w:rsid w:val="65E47E23"/>
    <w:rsid w:val="66940618"/>
    <w:rsid w:val="66A23F66"/>
    <w:rsid w:val="6921408E"/>
    <w:rsid w:val="69B838CA"/>
    <w:rsid w:val="6B99345E"/>
    <w:rsid w:val="6E0252EB"/>
    <w:rsid w:val="700F0166"/>
    <w:rsid w:val="744E128A"/>
    <w:rsid w:val="753C5586"/>
    <w:rsid w:val="76236746"/>
    <w:rsid w:val="76634D94"/>
    <w:rsid w:val="784C3D32"/>
    <w:rsid w:val="7C1728A9"/>
    <w:rsid w:val="7D6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B623B"/>
  <w15:docId w15:val="{4B7B4829-5504-4428-A74A-671D167F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8">
    <w:name w:val="heading 8"/>
    <w:basedOn w:val="a"/>
    <w:next w:val="a"/>
    <w:link w:val="80"/>
    <w:semiHidden/>
    <w:unhideWhenUsed/>
    <w:qFormat/>
    <w:rsid w:val="004C380B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Courier New" w:cs="宋体"/>
      <w:kern w:val="0"/>
      <w:szCs w:val="2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qFormat/>
    <w:rPr>
      <w:color w:val="0026E5" w:themeColor="hyperlink"/>
      <w:u w:val="single"/>
    </w:r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rFonts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标题 8 字符"/>
    <w:basedOn w:val="a0"/>
    <w:link w:val="8"/>
    <w:semiHidden/>
    <w:rsid w:val="004C380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6E5F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xiaomei@enaea.edu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uxiaomei@enaea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中国成协</cp:lastModifiedBy>
  <cp:revision>24</cp:revision>
  <cp:lastPrinted>2024-12-04T02:17:00Z</cp:lastPrinted>
  <dcterms:created xsi:type="dcterms:W3CDTF">2024-05-06T06:18:00Z</dcterms:created>
  <dcterms:modified xsi:type="dcterms:W3CDTF">2024-12-09T07:12:00Z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170A5BBB2F434D968A3E44883E86AECE_11</vt:lpwstr>
  </property>
</Properties>
</file>