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微软雅黑" w:hAnsi="微软雅黑" w:eastAsia="微软雅黑" w:cs="微软雅黑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诵读</w:t>
      </w:r>
      <w:r>
        <w:rPr>
          <w:rFonts w:hint="eastAsia" w:ascii="微软雅黑" w:hAnsi="微软雅黑" w:eastAsia="微软雅黑" w:cs="微软雅黑"/>
          <w:sz w:val="32"/>
          <w:szCs w:val="32"/>
        </w:rPr>
        <w:t>经典 涵养师德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（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二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-19" w:leftChars="-9" w:firstLine="16" w:firstLineChars="5"/>
        <w:jc w:val="center"/>
        <w:textAlignment w:val="auto"/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 xml:space="preserve">                          </w:t>
      </w:r>
      <w:r>
        <w:rPr>
          <w:rFonts w:hint="eastAsia" w:ascii="微软雅黑" w:hAnsi="微软雅黑" w:eastAsia="微软雅黑" w:cs="微软雅黑"/>
          <w:sz w:val="32"/>
          <w:szCs w:val="32"/>
        </w:rPr>
        <w:t>——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育新</w:t>
      </w:r>
      <w:r>
        <w:rPr>
          <w:rFonts w:hint="eastAsia" w:ascii="微软雅黑" w:hAnsi="微软雅黑" w:eastAsia="微软雅黑" w:cs="微软雅黑"/>
          <w:sz w:val="32"/>
          <w:szCs w:val="32"/>
        </w:rPr>
        <w:t>小学师德养成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国学经典与教育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drawing>
          <wp:inline distT="0" distB="0" distL="114300" distR="114300">
            <wp:extent cx="1485265" cy="2156460"/>
            <wp:effectExtent l="0" t="0" r="635" b="15240"/>
            <wp:docPr id="3" name="图片 3" descr="mmexport15875241986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mmexport158752419867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85265" cy="215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《礼记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·</w:t>
      </w:r>
      <w:r>
        <w:rPr>
          <w:rFonts w:hint="eastAsia" w:ascii="宋体" w:hAnsi="宋体" w:eastAsia="宋体" w:cs="宋体"/>
          <w:sz w:val="28"/>
          <w:szCs w:val="28"/>
        </w:rPr>
        <w:t>大学》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诵读者：梁希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br w:type="textWrapping"/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原文：</w:t>
      </w:r>
      <w:r>
        <w:rPr>
          <w:rFonts w:hint="eastAsia" w:ascii="宋体" w:hAnsi="宋体" w:eastAsia="宋体" w:cs="宋体"/>
          <w:sz w:val="28"/>
          <w:szCs w:val="28"/>
        </w:rPr>
        <w:t>古之欲明德于天下者，先治其国；欲治其国者，先齐其家；欲齐其家者，先修其身；欲修其身者，先正其心；欲正其心者，先诚其意；欲诚其意者，先致其知。致知在格物。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译文：古代那些要想在天下弘扬光明正大品德的人，先要治理好自己的国家；要想治理好自己的国家，先要管理好自己的家庭和家族；要想管理好自己的家庭和家族，先要修养自身的品性；要想修养自身的品性，先要端正自己的心思；要想端正自己的心思，先要使自己的意念真诚；要想使自己的意念真诚，先要使自己获得知识。获得知识的途径在于认识、研究万事万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drawing>
          <wp:inline distT="0" distB="0" distL="114300" distR="114300">
            <wp:extent cx="2079625" cy="2084070"/>
            <wp:effectExtent l="0" t="0" r="15875" b="11430"/>
            <wp:docPr id="4" name="图片 4" descr="mmexport1587529414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mmexport158752941426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79625" cy="2084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《礼记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·</w:t>
      </w:r>
      <w:r>
        <w:rPr>
          <w:rFonts w:hint="eastAsia" w:ascii="宋体" w:hAnsi="宋体" w:eastAsia="宋体" w:cs="宋体"/>
          <w:sz w:val="28"/>
          <w:szCs w:val="28"/>
        </w:rPr>
        <w:t>大学》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节选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诵读者：邓智丽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原文：</w:t>
      </w:r>
      <w:r>
        <w:rPr>
          <w:rFonts w:hint="eastAsia" w:ascii="宋体" w:hAnsi="宋体" w:eastAsia="宋体" w:cs="宋体"/>
          <w:sz w:val="28"/>
          <w:szCs w:val="28"/>
        </w:rPr>
        <w:t>物格而后知至，知至而后意诚，意诚而后心正，心正而后身修，身修而后家齐，家齐而后国治，国治而后天下平。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译文：只有推究事物的原理，而后才能达到认识明确；只有达到认识明确，而后才能意念诚实；只有意念诚实，而后才能心思端正；只有心思端正，而后才能提高自身的品德修养；只有提高了自身的品德修养，而后才能整治好家族；只有整治好家族，而后才能治理好邦国；只有治理好邦国，而后才能使天下太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066" w:bottom="1440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9A2B49"/>
    <w:rsid w:val="089A2B49"/>
    <w:rsid w:val="0F0B5241"/>
    <w:rsid w:val="21881E18"/>
    <w:rsid w:val="32400A01"/>
    <w:rsid w:val="35A84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2020-11-20T08:19:00Z</dcterms:created>
  <dc:creator>Administrator</dc:creator>
  <cp:lastModifiedBy>喋喋以喋以喋喋</cp:lastModifiedBy>
  <dcterms:modified xsi:type="dcterms:W3CDTF">2021-12-06T10:33:28Z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17255A9E74FB4306AC8DFAA5DA1803B4</vt:lpwstr>
  </property>
</Properties>
</file>