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3D6F">
      <w:pPr>
        <w:spacing w:line="440" w:lineRule="exact"/>
        <w:rPr>
          <w:rFonts w:hint="eastAsia" w:ascii="方正小标宋简体" w:hAnsi="方正小标宋简体" w:eastAsia="黑体" w:cs="方正小标宋简体"/>
          <w:bCs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color w:val="000000"/>
          <w:sz w:val="30"/>
          <w:szCs w:val="30"/>
          <w:lang w:val="en-US" w:eastAsia="zh-CN"/>
        </w:rPr>
        <w:t>1</w:t>
      </w:r>
    </w:p>
    <w:p w14:paraId="2474A6A9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  <w:t>湖北省高校学生党员网络培训班课程列表</w:t>
      </w:r>
    </w:p>
    <w:p w14:paraId="45618112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t>一、红色教育云参观课程列表</w:t>
      </w:r>
    </w:p>
    <w:tbl>
      <w:tblPr>
        <w:tblStyle w:val="2"/>
        <w:tblW w:w="0" w:type="auto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426"/>
        <w:gridCol w:w="4934"/>
      </w:tblGrid>
      <w:tr w14:paraId="0C8D3100">
        <w:trPr>
          <w:trHeight w:val="600" w:hRule="atLeast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C2BB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参观模块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F7119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92998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主题内容</w:t>
            </w:r>
          </w:p>
        </w:tc>
      </w:tr>
      <w:tr w14:paraId="10648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4BC7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沿着总书记的足迹系列微课</w:t>
            </w:r>
          </w:p>
        </w:tc>
        <w:tc>
          <w:tcPr>
            <w:tcW w:w="2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00007B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西柏坡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BD7A3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西柏坡精神</w:t>
            </w:r>
          </w:p>
        </w:tc>
      </w:tr>
      <w:tr w14:paraId="32693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B09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3760D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99322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站稳人民立场，让青春在磨砺奋斗中出彩升华</w:t>
            </w:r>
          </w:p>
        </w:tc>
      </w:tr>
      <w:tr w14:paraId="5ED6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E943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57CEF2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延安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EFCC8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读“有字之书”和“无字之书”</w:t>
            </w:r>
          </w:p>
        </w:tc>
      </w:tr>
      <w:tr w14:paraId="102F1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95A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72F03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7FDEB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延安精神</w:t>
            </w:r>
          </w:p>
        </w:tc>
      </w:tr>
      <w:tr w14:paraId="451FF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F6B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9A8CE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井冈山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F1F69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中国革命的摇篮</w:t>
            </w:r>
          </w:p>
        </w:tc>
      </w:tr>
      <w:tr w14:paraId="55CE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C48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E5897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AA773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之江奔涌谱新篇 勇立潮头更杨帆</w:t>
            </w:r>
          </w:p>
        </w:tc>
      </w:tr>
      <w:tr w14:paraId="42F9A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07C0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0F537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福州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50BD5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重走福州路 以实干践行初心使命</w:t>
            </w:r>
          </w:p>
        </w:tc>
      </w:tr>
      <w:tr w14:paraId="792A7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93D0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感悟沂蒙精神汲取奋进力量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36A385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沂蒙精神的文化溯源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1B1309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沂蒙文化 源远流长</w:t>
            </w:r>
          </w:p>
        </w:tc>
      </w:tr>
      <w:tr w14:paraId="1AE74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0FB8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988AAE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沂蒙精神的红色源头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78BFB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抗大一分校</w:t>
            </w:r>
          </w:p>
        </w:tc>
      </w:tr>
      <w:tr w14:paraId="78CEC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D115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DE422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沂蒙精神的本质内涵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2034C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水乳交融、生死与共</w:t>
            </w:r>
          </w:p>
        </w:tc>
      </w:tr>
      <w:tr w14:paraId="7D877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B273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B70E9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沂蒙精神的重要组成部分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4840E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北海银行精神</w:t>
            </w:r>
          </w:p>
        </w:tc>
      </w:tr>
      <w:tr w14:paraId="4955B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A702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4874A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沂蒙精神的时代价值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7149E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传承红色基因，激励新时代青年</w:t>
            </w:r>
          </w:p>
        </w:tc>
      </w:tr>
    </w:tbl>
    <w:p w14:paraId="0F49D141">
      <w:pPr>
        <w:spacing w:line="440" w:lineRule="exact"/>
        <w:ind w:left="358" w:hanging="358" w:hangingChars="152"/>
        <w:rPr>
          <w:rFonts w:hint="eastAsia" w:ascii="楷体" w:hAnsi="楷体" w:eastAsia="楷体" w:cs="仿宋"/>
          <w:sz w:val="24"/>
          <w:szCs w:val="16"/>
        </w:rPr>
      </w:pPr>
      <w:r>
        <w:rPr>
          <w:rFonts w:ascii="楷体" w:hAnsi="楷体" w:eastAsia="楷体" w:cs="仿宋"/>
          <w:sz w:val="24"/>
          <w:szCs w:val="16"/>
        </w:rPr>
        <w:t>说明</w:t>
      </w:r>
      <w:r>
        <w:rPr>
          <w:rFonts w:hint="eastAsia" w:ascii="楷体" w:hAnsi="楷体" w:eastAsia="楷体" w:cs="仿宋"/>
          <w:sz w:val="24"/>
          <w:szCs w:val="16"/>
        </w:rPr>
        <w:t>：学员可结合需求，自主选择学习。</w:t>
      </w:r>
    </w:p>
    <w:p w14:paraId="4B5CA222">
      <w:pPr>
        <w:spacing w:line="440" w:lineRule="exact"/>
        <w:ind w:left="450" w:hanging="450" w:hangingChars="152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t>二、网络课程学习列表</w:t>
      </w:r>
    </w:p>
    <w:tbl>
      <w:tblPr>
        <w:tblStyle w:val="2"/>
        <w:tblW w:w="4972" w:type="pc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1037"/>
        <w:gridCol w:w="3214"/>
      </w:tblGrid>
      <w:tr w14:paraId="4342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027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760C0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主讲人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72A0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单位与职务</w:t>
            </w:r>
          </w:p>
        </w:tc>
      </w:tr>
      <w:tr w14:paraId="3982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D259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（一）党的创新理论教育</w:t>
            </w:r>
          </w:p>
        </w:tc>
      </w:tr>
      <w:tr w14:paraId="06682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ED89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学习习近平新时代中国特色社会主义思想的世界观和方法论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17EA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韩庆祥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52B75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中共中央党校（国家行政学院）教授</w:t>
            </w:r>
          </w:p>
        </w:tc>
      </w:tr>
      <w:tr w14:paraId="368E1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C448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《习近平总书记关于党的建设的重要思想概论》学习辅导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29E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董亚炜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3786F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中共中央党校（国家行政学院）教授</w:t>
            </w:r>
          </w:p>
        </w:tc>
      </w:tr>
      <w:tr w14:paraId="1D02D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2E7E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《习近平文化思想学习纲要》学习辅导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80A9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秦强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3B01E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中共中央宣传部全国宣传干部学院教研部副主任、研究员</w:t>
            </w:r>
          </w:p>
        </w:tc>
      </w:tr>
      <w:tr w14:paraId="6A672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9F96">
            <w:pPr>
              <w:widowControl/>
              <w:textAlignment w:val="bottom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国家行动：加快建设教育强国</w:t>
            </w:r>
            <w:r>
              <w:rPr>
                <w:rStyle w:val="4"/>
                <w:rFonts w:hint="default" w:hAnsi="仿宋_GB2312"/>
                <w:lang w:bidi="ar"/>
              </w:rPr>
              <w:t>——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《教育强国建设规划纲要（</w:t>
            </w:r>
            <w:r>
              <w:rPr>
                <w:rStyle w:val="4"/>
                <w:rFonts w:hint="default" w:hAnsi="仿宋_GB2312"/>
                <w:lang w:bidi="ar"/>
              </w:rPr>
              <w:t>2024—2035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年）》解读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93FE">
            <w:pPr>
              <w:widowControl/>
              <w:jc w:val="center"/>
              <w:textAlignment w:val="bottom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张志勇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1AAB5F">
            <w:pPr>
              <w:widowControl/>
              <w:jc w:val="left"/>
              <w:textAlignment w:val="bottom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北京师范大学教授、国家高端智库教育国情调查中心主任</w:t>
            </w:r>
          </w:p>
        </w:tc>
      </w:tr>
      <w:tr w14:paraId="760C2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EBEC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新时代中国的国防与强军战略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B70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姜春良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EDAE9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中国人民解放军军事科学院研究员，少将军衔</w:t>
            </w:r>
          </w:p>
        </w:tc>
      </w:tr>
      <w:tr w14:paraId="58C15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65A8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总体安全观视域下高校意识形态安全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D166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谢从高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0B7E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华中师范大学马克思主义学院党委委员，教授</w:t>
            </w:r>
          </w:p>
        </w:tc>
      </w:tr>
      <w:tr w14:paraId="51E39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9B0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（二）学习党史党章党规</w:t>
            </w:r>
          </w:p>
        </w:tc>
      </w:tr>
      <w:tr w14:paraId="66249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C739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牢记共产党人的初心，弘扬伟大建党精神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5703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丁晓强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AE0F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华东师范大学马克思主义学院二级教授</w:t>
            </w:r>
          </w:p>
        </w:tc>
      </w:tr>
      <w:tr w14:paraId="0DC2B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3AE7F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中国共产党在抗日战争中的地位和作用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F000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仝华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DB32A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北京大学马克思主义学院原副院长</w:t>
            </w:r>
          </w:p>
        </w:tc>
      </w:tr>
      <w:tr w14:paraId="6EDBD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09FD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从“窑洞对”看中国共产党为什么能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C8B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毛文林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B7D7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广东东江干部学院专职理论教员</w:t>
            </w:r>
          </w:p>
        </w:tc>
      </w:tr>
      <w:tr w14:paraId="65BA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C44C3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如何在党史宣传工作中坚持正确的党史观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E94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程美东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6991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北京大学马克思主义学院教授</w:t>
            </w:r>
          </w:p>
        </w:tc>
      </w:tr>
      <w:tr w14:paraId="25CB0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55C7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《全国党员教育培训工作规划(2024-2028年)》解读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82F0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朱谐汉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B4F8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中共中央党校（国家行政学院）教授</w:t>
            </w:r>
          </w:p>
        </w:tc>
      </w:tr>
      <w:tr w14:paraId="215E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40E7B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《中国共产党不合格党员组织处置办法》解读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7B3A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姚国建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8C3D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中国政法大学法学院副院长，教授</w:t>
            </w:r>
          </w:p>
        </w:tc>
      </w:tr>
      <w:tr w14:paraId="1E2B2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53A6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《中国共产党党员网络行为规定》解读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885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姚国建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4B06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中国政法大学法学院副院长、教授</w:t>
            </w:r>
          </w:p>
        </w:tc>
      </w:tr>
      <w:tr w14:paraId="27513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A21B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（三）党性修养提升</w:t>
            </w:r>
          </w:p>
        </w:tc>
      </w:tr>
      <w:tr w14:paraId="2142F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A8DF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对腐败关门</w:t>
            </w:r>
            <w:r>
              <w:rPr>
                <w:rStyle w:val="5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对廉洁亮灯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EC9F6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专题片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6388">
            <w:pPr>
              <w:jc w:val="lef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D49E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19B52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聚焦习近平新时代中国特色社会主义思想国际传播 充分发挥多语种优势讲好中国故事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E14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尹冬梅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3214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上海外国语大学党委书记，研究员</w:t>
            </w:r>
          </w:p>
        </w:tc>
      </w:tr>
      <w:tr w14:paraId="6F054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D6AB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国际变局中的青年责任与担当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047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许  森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3757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中国人民解放军国防大学国际防务学院原副院长，大校军衔</w:t>
            </w:r>
          </w:p>
        </w:tc>
      </w:tr>
      <w:tr w14:paraId="732FA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9095A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共读《习近平与大学生朋友们》系列微课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896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微  课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4134">
            <w:pPr>
              <w:jc w:val="lef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4D62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CCE6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文化认同与铸牢中华民族共同体意识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C02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崔  榕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8641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中南民族大学中华民族共同体学院教授</w:t>
            </w:r>
          </w:p>
        </w:tc>
      </w:tr>
      <w:tr w14:paraId="051B8250">
        <w:trPr>
          <w:trHeight w:val="68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BB63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传承红色基因 创新发展总体国家安全观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27D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姜春良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8573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中国人民解放军军事科学院战争理论与战略研究部研究员，少将军衔</w:t>
            </w:r>
          </w:p>
        </w:tc>
      </w:tr>
      <w:tr w14:paraId="749C5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BB40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坚定理想信念，补足“精神”之钙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6EBE6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何小勇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AE8A0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暨南大学马克思主义学院副院长，副教授</w:t>
            </w:r>
          </w:p>
        </w:tc>
      </w:tr>
      <w:tr w14:paraId="59EDF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F90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（四）知识技能教育</w:t>
            </w:r>
          </w:p>
        </w:tc>
      </w:tr>
      <w:tr w14:paraId="31E3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4DF9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超级PPT制作秘籍，AI助你事半功倍，打造高效演示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8D5F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常亚南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BD68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办公软件实战应用专家</w:t>
            </w:r>
          </w:p>
        </w:tc>
      </w:tr>
      <w:tr w14:paraId="2756E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B96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AI智能体的搭建与应用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9405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专题片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CDF8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5A9B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D716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大学生面临的安全风险威胁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88BD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靳高风 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0BC90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中国人民公安大学犯罪学学院院长，教授</w:t>
            </w:r>
          </w:p>
        </w:tc>
      </w:tr>
      <w:tr w14:paraId="747FF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5FC3C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AI助力：开启就业信息“智取”之旅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8C5B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宋宏宇 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11EF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哈尔滨工业大学电气学院就业指导中心副主任</w:t>
            </w:r>
          </w:p>
        </w:tc>
      </w:tr>
      <w:tr w14:paraId="411F5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E71D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大学生心理健康与常见心理问题应对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D26B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裴  涛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E7C0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南京师范大学心理咨询中心副主任，副教授</w:t>
            </w:r>
          </w:p>
        </w:tc>
      </w:tr>
      <w:tr w14:paraId="62914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16E4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职场沟通力——向上、对外沟通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4D3E5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柳  娟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CF7A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高级商务礼仪专家</w:t>
            </w:r>
          </w:p>
        </w:tc>
      </w:tr>
      <w:tr w14:paraId="14182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285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（五）学习榜样事迹，做新时代有为青年</w:t>
            </w:r>
          </w:p>
        </w:tc>
      </w:tr>
      <w:tr w14:paraId="16895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0DC5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以青春之光照亮乡村振兴之路 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EE5F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王安邦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62E4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全国高校“百名研究生党员标兵”，华中农业大学博士研究生</w:t>
            </w:r>
          </w:p>
        </w:tc>
      </w:tr>
      <w:tr w14:paraId="51CA2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FF3E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学以致用 青春有为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C9B06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马红英</w:t>
            </w:r>
            <w:r>
              <w:rPr>
                <w:rStyle w:val="6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B9454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全国高校“百名研究生党员标兵”，南开大学马克思主义学院博士研究生</w:t>
            </w:r>
          </w:p>
        </w:tc>
      </w:tr>
      <w:tr w14:paraId="49864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6DE2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博文明理 硕师为国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0DDB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微  课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4FDE">
            <w:pPr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6E48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CD722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白袍下的红色誓言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4C2F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肖稷恒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0AF18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全国高校“百名研究生党员标兵”，华中科技大学附属协和医院博士研究生</w:t>
            </w:r>
          </w:p>
        </w:tc>
      </w:tr>
      <w:tr w14:paraId="7EB7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FE6D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用热爱传播信仰</w:t>
            </w:r>
            <w:r>
              <w:rPr>
                <w:rStyle w:val="5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用汗水在实践中浇灌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8DBA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杨  宁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050A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全国高校</w:t>
            </w:r>
            <w:r>
              <w:rPr>
                <w:rStyle w:val="5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>“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百名研究生党员标兵</w:t>
            </w:r>
            <w:r>
              <w:rPr>
                <w:rStyle w:val="5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>”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，复旦大学博士研究生</w:t>
            </w:r>
          </w:p>
        </w:tc>
      </w:tr>
    </w:tbl>
    <w:p w14:paraId="5DF3B70B">
      <w:pPr>
        <w:pStyle w:val="7"/>
        <w:spacing w:line="360" w:lineRule="exact"/>
        <w:ind w:right="-85" w:rightChars="-27" w:firstLine="0" w:firstLineChars="0"/>
        <w:rPr>
          <w:rFonts w:ascii="楷体" w:hAnsi="楷体" w:eastAsia="楷体" w:cs="仿宋"/>
          <w:color w:val="auto"/>
        </w:rPr>
      </w:pPr>
      <w:r>
        <w:rPr>
          <w:rFonts w:ascii="楷体" w:hAnsi="楷体" w:eastAsia="楷体" w:cs="仿宋"/>
          <w:color w:val="auto"/>
        </w:rPr>
        <w:t>说明</w:t>
      </w:r>
      <w:r>
        <w:rPr>
          <w:rFonts w:hint="eastAsia" w:ascii="楷体" w:hAnsi="楷体" w:eastAsia="楷体" w:cs="仿宋"/>
          <w:color w:val="auto"/>
        </w:rPr>
        <w:t>：</w:t>
      </w:r>
      <w:r>
        <w:rPr>
          <w:rFonts w:ascii="Times New Roman" w:hAnsi="Times New Roman" w:eastAsia="楷体"/>
          <w:color w:val="auto"/>
        </w:rPr>
        <w:t>1</w:t>
      </w:r>
      <w:r>
        <w:rPr>
          <w:rFonts w:hint="eastAsia" w:ascii="Times New Roman" w:hAnsi="Times New Roman" w:eastAsia="楷体"/>
          <w:color w:val="auto"/>
        </w:rPr>
        <w:t>.</w:t>
      </w:r>
      <w:r>
        <w:rPr>
          <w:rFonts w:hint="eastAsia" w:ascii="楷体" w:hAnsi="楷体" w:eastAsia="楷体" w:cs="仿宋"/>
          <w:color w:val="auto"/>
        </w:rPr>
        <w:t>个别课程或稍有调整，请以平台最终发布课程为准；</w:t>
      </w:r>
    </w:p>
    <w:p w14:paraId="788093A2">
      <w:pPr>
        <w:pStyle w:val="7"/>
        <w:spacing w:line="360" w:lineRule="exact"/>
        <w:ind w:right="-85" w:rightChars="-27" w:firstLine="708" w:firstLineChars="300"/>
        <w:rPr>
          <w:rFonts w:hint="eastAsia"/>
          <w:lang w:val="en-US" w:eastAsia="zh-CN"/>
        </w:rPr>
        <w:sectPr>
          <w:pgSz w:w="11906" w:h="16838"/>
          <w:pgMar w:top="1474" w:right="1418" w:bottom="1418" w:left="1474" w:header="851" w:footer="1247" w:gutter="0"/>
          <w:cols w:space="720" w:num="1"/>
          <w:titlePg/>
          <w:docGrid w:type="linesAndChars" w:linePitch="608" w:charSpace="-849"/>
        </w:sectPr>
      </w:pPr>
      <w:r>
        <w:rPr>
          <w:rFonts w:ascii="Times New Roman" w:hAnsi="Times New Roman" w:eastAsia="楷体"/>
          <w:color w:val="auto"/>
        </w:rPr>
        <w:t>2.</w:t>
      </w:r>
      <w:r>
        <w:rPr>
          <w:rFonts w:ascii="楷体" w:hAnsi="楷体" w:eastAsia="楷体" w:cs="仿宋"/>
          <w:color w:val="auto"/>
        </w:rPr>
        <w:t>课程主讲人职务为课程录制时的职务</w:t>
      </w:r>
      <w:r>
        <w:rPr>
          <w:rFonts w:hint="eastAsia" w:ascii="楷体" w:hAnsi="楷体" w:eastAsia="楷体" w:cs="仿宋"/>
          <w:color w:val="auto"/>
        </w:rPr>
        <w:t>。</w:t>
      </w:r>
      <w:bookmarkStart w:id="0" w:name="_GoBack"/>
      <w:bookmarkEnd w:id="0"/>
    </w:p>
    <w:p w14:paraId="36AED8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A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1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6">
    <w:name w:val="font15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7">
    <w:name w:val="00正文"/>
    <w:basedOn w:val="1"/>
    <w:qFormat/>
    <w:uiPriority w:val="0"/>
    <w:pPr>
      <w:widowControl/>
      <w:spacing w:line="360" w:lineRule="auto"/>
      <w:ind w:firstLine="480" w:firstLineChars="200"/>
    </w:pPr>
    <w:rPr>
      <w:rFonts w:ascii="仿宋_GB2312" w:hAnsi="宋体" w:eastAsia="仿宋_GB2312" w:cs="Times New Roman"/>
      <w:color w:val="00000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2025-09-11T01:37:37Z</dcterms:created>
  <dc:creator>Administrator</dc:creator>
  <cp:lastModifiedBy>一叶编舟</cp:lastModifiedBy>
  <dcterms:modified xsi:type="dcterms:W3CDTF">2025-09-11T01:37:54Z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489FF81B13924B4386EE4B1122B81608_12</vt:lpwstr>
  </property>
</Properties>
</file>