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0178F">
      <w:pPr>
        <w:spacing w:line="52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附件2</w:t>
      </w:r>
    </w:p>
    <w:p w14:paraId="1E9A6D11">
      <w:pPr>
        <w:spacing w:line="500" w:lineRule="exact"/>
        <w:jc w:val="center"/>
        <w:rPr>
          <w:rFonts w:hint="eastAsia" w:ascii="方正小标宋简体" w:hAnsi="仿宋" w:eastAsia="方正小标宋简体"/>
          <w:sz w:val="32"/>
          <w:szCs w:val="32"/>
        </w:rPr>
      </w:pPr>
      <w:bookmarkStart w:id="0" w:name="_GoBack"/>
      <w:r>
        <w:rPr>
          <w:rFonts w:ascii="方正小标宋简体" w:hAnsi="仿宋" w:eastAsia="方正小标宋简体"/>
          <w:sz w:val="32"/>
          <w:szCs w:val="32"/>
        </w:rPr>
        <w:t>中国</w:t>
      </w:r>
      <w:r>
        <w:rPr>
          <w:rFonts w:hint="eastAsia" w:ascii="方正小标宋简体" w:hAnsi="仿宋" w:eastAsia="方正小标宋简体"/>
          <w:sz w:val="32"/>
          <w:szCs w:val="32"/>
        </w:rPr>
        <w:t>成人教育协会高等院校继续教育发展专业委员会</w:t>
      </w:r>
    </w:p>
    <w:p w14:paraId="3FEB7AE2">
      <w:pPr>
        <w:tabs>
          <w:tab w:val="left" w:pos="1390"/>
          <w:tab w:val="center" w:pos="4153"/>
        </w:tabs>
        <w:spacing w:line="500" w:lineRule="exact"/>
        <w:jc w:val="left"/>
        <w:rPr>
          <w:rFonts w:hint="eastAsia" w:ascii="方正小标宋简体" w:hAnsi="仿宋" w:eastAsia="方正小标宋简体"/>
          <w:sz w:val="32"/>
          <w:szCs w:val="32"/>
        </w:rPr>
      </w:pPr>
      <w:r>
        <w:rPr>
          <w:rFonts w:hint="eastAsia" w:ascii="方正小标宋简体" w:hAnsi="仿宋" w:eastAsia="方正小标宋简体"/>
          <w:sz w:val="32"/>
          <w:szCs w:val="32"/>
        </w:rPr>
        <w:tab/>
      </w:r>
      <w:r>
        <w:rPr>
          <w:rFonts w:hint="eastAsia" w:ascii="方正小标宋简体" w:hAnsi="仿宋" w:eastAsia="方正小标宋简体"/>
          <w:sz w:val="32"/>
          <w:szCs w:val="32"/>
        </w:rPr>
        <w:tab/>
      </w:r>
      <w:r>
        <w:rPr>
          <w:rFonts w:hint="eastAsia" w:ascii="方正小标宋简体" w:hAnsi="仿宋" w:eastAsia="方正小标宋简体"/>
          <w:sz w:val="32"/>
          <w:szCs w:val="32"/>
        </w:rPr>
        <w:t>2026年度教育科研课题选题指南</w:t>
      </w:r>
      <w:bookmarkEnd w:id="0"/>
    </w:p>
    <w:p w14:paraId="6F4BEE5F">
      <w:pPr>
        <w:widowControl/>
        <w:spacing w:before="312" w:beforeLines="100" w:line="500" w:lineRule="exact"/>
        <w:ind w:firstLine="600" w:firstLineChars="200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本年度课题研究坚持问题导向、实践导向、应用导向，聚焦新时代高等继续教育改革发展重点、难点和热点问题，服务教育强国建设、“十五五”教育科研开局任务和终身教育高质量发展，重点设置八大研究方向。申报人可参考本指南方向，结合本校实践</w:t>
      </w:r>
      <w:r>
        <w:rPr>
          <w:rFonts w:ascii="仿宋_GB2312" w:hAnsi="仿宋" w:eastAsia="仿宋_GB2312" w:cs="黑体"/>
          <w:b/>
          <w:bCs/>
          <w:sz w:val="30"/>
          <w:szCs w:val="30"/>
        </w:rPr>
        <w:t>自主拟定具体课题名称</w:t>
      </w:r>
      <w:r>
        <w:rPr>
          <w:rFonts w:ascii="仿宋_GB2312" w:hAnsi="仿宋" w:eastAsia="仿宋_GB2312" w:cs="黑体"/>
          <w:bCs/>
          <w:sz w:val="30"/>
          <w:szCs w:val="30"/>
        </w:rPr>
        <w:t>；鼓励以院校、区域实践为案例开展实证研究，避免选题大而空泛。</w:t>
      </w:r>
    </w:p>
    <w:p w14:paraId="4F04B3D6">
      <w:pPr>
        <w:widowControl/>
        <w:spacing w:line="500" w:lineRule="exact"/>
        <w:jc w:val="left"/>
        <w:rPr>
          <w:rFonts w:hint="eastAsia" w:ascii="仿宋_GB2312" w:hAnsi="仿宋" w:eastAsia="仿宋_GB2312" w:cs="黑体"/>
          <w:b/>
          <w:bCs/>
          <w:sz w:val="30"/>
          <w:szCs w:val="30"/>
        </w:rPr>
      </w:pPr>
      <w:r>
        <w:rPr>
          <w:rFonts w:ascii="仿宋_GB2312" w:hAnsi="仿宋" w:eastAsia="仿宋_GB2312" w:cs="黑体"/>
          <w:b/>
          <w:bCs/>
          <w:sz w:val="30"/>
          <w:szCs w:val="30"/>
        </w:rPr>
        <w:t>（一）宏观治理与高质量发展研究</w:t>
      </w:r>
    </w:p>
    <w:p w14:paraId="0274065E"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“十五五”时期高等继续教育服务教育强国建设战略路径</w:t>
      </w:r>
      <w:r>
        <w:rPr>
          <w:rFonts w:hint="eastAsia" w:ascii="仿宋_GB2312" w:hAnsi="仿宋" w:eastAsia="仿宋_GB2312" w:cs="黑体"/>
          <w:bCs/>
          <w:sz w:val="30"/>
          <w:szCs w:val="30"/>
        </w:rPr>
        <w:t>研究</w:t>
      </w:r>
    </w:p>
    <w:p w14:paraId="3824EDA9"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高校继续教育办学定位、功能重构与发展模式创新</w:t>
      </w:r>
    </w:p>
    <w:p w14:paraId="7BBE37FF"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高等继续教育质量保障体系建设与评价机制</w:t>
      </w:r>
    </w:p>
    <w:p w14:paraId="4B772D0B"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普通高校、职业院校、开放大学继续教育协同发展机制</w:t>
      </w:r>
    </w:p>
    <w:p w14:paraId="3607DF21"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高等继续教育地方政策供给、制度落地实施路径</w:t>
      </w:r>
      <w:r>
        <w:rPr>
          <w:rFonts w:hint="eastAsia" w:ascii="仿宋_GB2312" w:hAnsi="仿宋" w:eastAsia="仿宋_GB2312" w:cs="黑体"/>
          <w:bCs/>
          <w:sz w:val="30"/>
          <w:szCs w:val="30"/>
        </w:rPr>
        <w:t>研究</w:t>
      </w:r>
    </w:p>
    <w:p w14:paraId="6707D08C"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人口结构变动背景下高校继续教育供给侧改革研究</w:t>
      </w:r>
    </w:p>
    <w:p w14:paraId="31D889B7">
      <w:pPr>
        <w:widowControl/>
        <w:spacing w:line="500" w:lineRule="exact"/>
        <w:jc w:val="left"/>
        <w:rPr>
          <w:rFonts w:hint="eastAsia" w:ascii="仿宋_GB2312" w:hAnsi="仿宋" w:eastAsia="仿宋_GB2312" w:cs="黑体"/>
          <w:b/>
          <w:bCs/>
          <w:sz w:val="30"/>
          <w:szCs w:val="30"/>
        </w:rPr>
      </w:pPr>
      <w:r>
        <w:rPr>
          <w:rFonts w:ascii="仿宋_GB2312" w:hAnsi="仿宋" w:eastAsia="仿宋_GB2312" w:cs="黑体"/>
          <w:b/>
          <w:bCs/>
          <w:sz w:val="30"/>
          <w:szCs w:val="30"/>
        </w:rPr>
        <w:t>（二）职继融通、产教融合与服务新质生产力</w:t>
      </w:r>
    </w:p>
    <w:p w14:paraId="5B27F8D0">
      <w:pPr>
        <w:widowControl/>
        <w:numPr>
          <w:ilvl w:val="0"/>
          <w:numId w:val="2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职继融通框架下学历继续教育与职业培训贯通机制</w:t>
      </w:r>
      <w:r>
        <w:rPr>
          <w:rFonts w:hint="eastAsia" w:ascii="仿宋_GB2312" w:hAnsi="仿宋" w:eastAsia="仿宋_GB2312" w:cs="黑体"/>
          <w:bCs/>
          <w:sz w:val="30"/>
          <w:szCs w:val="30"/>
        </w:rPr>
        <w:t>研究</w:t>
      </w:r>
    </w:p>
    <w:p w14:paraId="27811A68">
      <w:pPr>
        <w:widowControl/>
        <w:numPr>
          <w:ilvl w:val="0"/>
          <w:numId w:val="2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面向新质生产力的高校非学历继续教育、行业企业培训模式</w:t>
      </w:r>
    </w:p>
    <w:p w14:paraId="1EDECF44">
      <w:pPr>
        <w:widowControl/>
        <w:numPr>
          <w:ilvl w:val="0"/>
          <w:numId w:val="2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现代产业学院框架下继续教育产教融合协同育人实践</w:t>
      </w:r>
    </w:p>
    <w:p w14:paraId="64C2221E">
      <w:pPr>
        <w:widowControl/>
        <w:numPr>
          <w:ilvl w:val="0"/>
          <w:numId w:val="2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高校继续教育服务产业工人技能提升行动路径</w:t>
      </w:r>
      <w:r>
        <w:rPr>
          <w:rFonts w:hint="eastAsia" w:ascii="仿宋_GB2312" w:hAnsi="仿宋" w:eastAsia="仿宋_GB2312" w:cs="黑体"/>
          <w:bCs/>
          <w:sz w:val="30"/>
          <w:szCs w:val="30"/>
        </w:rPr>
        <w:t>研究</w:t>
      </w:r>
    </w:p>
    <w:p w14:paraId="06A3BE81">
      <w:pPr>
        <w:widowControl/>
        <w:numPr>
          <w:ilvl w:val="0"/>
          <w:numId w:val="2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乡村振兴背景下高校继续教育服务县域人才培养实践</w:t>
      </w:r>
    </w:p>
    <w:p w14:paraId="52D01A07">
      <w:pPr>
        <w:widowControl/>
        <w:spacing w:line="500" w:lineRule="exact"/>
        <w:jc w:val="left"/>
        <w:rPr>
          <w:rFonts w:hint="eastAsia" w:ascii="仿宋_GB2312" w:hAnsi="仿宋" w:eastAsia="仿宋_GB2312" w:cs="黑体"/>
          <w:b/>
          <w:bCs/>
          <w:sz w:val="30"/>
          <w:szCs w:val="30"/>
        </w:rPr>
      </w:pPr>
      <w:r>
        <w:rPr>
          <w:rFonts w:ascii="仿宋_GB2312" w:hAnsi="仿宋" w:eastAsia="仿宋_GB2312" w:cs="黑体"/>
          <w:b/>
          <w:bCs/>
          <w:sz w:val="30"/>
          <w:szCs w:val="30"/>
        </w:rPr>
        <w:t>（三）继续教育数字化与人工智能应用</w:t>
      </w:r>
    </w:p>
    <w:p w14:paraId="14835D1B">
      <w:pPr>
        <w:widowControl/>
        <w:numPr>
          <w:ilvl w:val="0"/>
          <w:numId w:val="3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生成式人工智能赋能高等继续教育教学改革实证</w:t>
      </w:r>
      <w:r>
        <w:rPr>
          <w:rFonts w:hint="eastAsia" w:ascii="仿宋_GB2312" w:hAnsi="仿宋" w:eastAsia="仿宋_GB2312" w:cs="黑体"/>
          <w:bCs/>
          <w:sz w:val="30"/>
          <w:szCs w:val="30"/>
        </w:rPr>
        <w:t>研究</w:t>
      </w:r>
    </w:p>
    <w:p w14:paraId="0E979121">
      <w:pPr>
        <w:widowControl/>
        <w:numPr>
          <w:ilvl w:val="0"/>
          <w:numId w:val="3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高等继续教育数字化课程、模块化活页资源建设与应用</w:t>
      </w:r>
    </w:p>
    <w:p w14:paraId="67A75AEE">
      <w:pPr>
        <w:widowControl/>
        <w:numPr>
          <w:ilvl w:val="0"/>
          <w:numId w:val="3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继续教育校外教学点数字化办学能力提升路径研究</w:t>
      </w:r>
    </w:p>
    <w:p w14:paraId="1A58424B">
      <w:pPr>
        <w:widowControl/>
        <w:numPr>
          <w:ilvl w:val="0"/>
          <w:numId w:val="3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AI时代成人学习者数字素养提升策略</w:t>
      </w:r>
    </w:p>
    <w:p w14:paraId="46F3E4F4">
      <w:pPr>
        <w:widowControl/>
        <w:numPr>
          <w:ilvl w:val="0"/>
          <w:numId w:val="3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继续教育领域数据安全、伦理风险防范机制研究</w:t>
      </w:r>
    </w:p>
    <w:p w14:paraId="15A336D7">
      <w:pPr>
        <w:widowControl/>
        <w:numPr>
          <w:ilvl w:val="0"/>
          <w:numId w:val="3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国家智慧教育平台继续教育资源落地应用机制研究</w:t>
      </w:r>
    </w:p>
    <w:p w14:paraId="0F75FCBF">
      <w:pPr>
        <w:widowControl/>
        <w:spacing w:line="500" w:lineRule="exact"/>
        <w:jc w:val="left"/>
        <w:rPr>
          <w:rFonts w:hint="eastAsia" w:ascii="仿宋_GB2312" w:hAnsi="仿宋" w:eastAsia="仿宋_GB2312" w:cs="黑体"/>
          <w:b/>
          <w:bCs/>
          <w:sz w:val="30"/>
          <w:szCs w:val="30"/>
        </w:rPr>
      </w:pPr>
      <w:r>
        <w:rPr>
          <w:rFonts w:ascii="仿宋_GB2312" w:hAnsi="仿宋" w:eastAsia="仿宋_GB2312" w:cs="黑体"/>
          <w:b/>
          <w:bCs/>
          <w:sz w:val="30"/>
          <w:szCs w:val="30"/>
        </w:rPr>
        <w:t>（</w:t>
      </w:r>
      <w:r>
        <w:rPr>
          <w:rFonts w:hint="eastAsia" w:ascii="仿宋_GB2312" w:hAnsi="仿宋" w:eastAsia="仿宋_GB2312" w:cs="黑体"/>
          <w:b/>
          <w:bCs/>
          <w:sz w:val="30"/>
          <w:szCs w:val="30"/>
        </w:rPr>
        <w:t>四</w:t>
      </w:r>
      <w:r>
        <w:rPr>
          <w:rFonts w:ascii="仿宋_GB2312" w:hAnsi="仿宋" w:eastAsia="仿宋_GB2312" w:cs="黑体"/>
          <w:b/>
          <w:bCs/>
          <w:sz w:val="30"/>
          <w:szCs w:val="30"/>
        </w:rPr>
        <w:t>）非学历继续教育、终身教育与学分银行</w:t>
      </w:r>
    </w:p>
    <w:p w14:paraId="3C6DF724">
      <w:pPr>
        <w:widowControl/>
        <w:numPr>
          <w:ilvl w:val="0"/>
          <w:numId w:val="4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高校非学历继续教育规范化发展与质量管控机制研究</w:t>
      </w:r>
    </w:p>
    <w:p w14:paraId="61AEEC0E">
      <w:pPr>
        <w:widowControl/>
        <w:numPr>
          <w:ilvl w:val="0"/>
          <w:numId w:val="4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学习成果认证、积累与转换（学分银行）高校落地实践</w:t>
      </w:r>
    </w:p>
    <w:p w14:paraId="0EA2B5F9">
      <w:pPr>
        <w:widowControl/>
        <w:numPr>
          <w:ilvl w:val="0"/>
          <w:numId w:val="4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高校服务社区教育、老年教育的模式与路径研究</w:t>
      </w:r>
    </w:p>
    <w:p w14:paraId="132BBF9E">
      <w:pPr>
        <w:widowControl/>
        <w:numPr>
          <w:ilvl w:val="0"/>
          <w:numId w:val="4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高校继续教育服务银龄人才培育、老年社会参与实践</w:t>
      </w:r>
    </w:p>
    <w:p w14:paraId="1062BFAE">
      <w:pPr>
        <w:widowControl/>
        <w:numPr>
          <w:ilvl w:val="0"/>
          <w:numId w:val="4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自学考试制度改革与终身学习服务功能拓展研究</w:t>
      </w:r>
    </w:p>
    <w:p w14:paraId="3760414A">
      <w:pPr>
        <w:widowControl/>
        <w:numPr>
          <w:ilvl w:val="0"/>
          <w:numId w:val="4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高校继续教育面向社会开展教师培训、专项能力培训实践</w:t>
      </w:r>
    </w:p>
    <w:p w14:paraId="3EDB686D">
      <w:pPr>
        <w:widowControl/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/>
          <w:bCs/>
          <w:sz w:val="30"/>
          <w:szCs w:val="30"/>
        </w:rPr>
        <w:t>（</w:t>
      </w:r>
      <w:r>
        <w:rPr>
          <w:rFonts w:hint="eastAsia" w:ascii="仿宋_GB2312" w:hAnsi="仿宋" w:eastAsia="仿宋_GB2312" w:cs="黑体"/>
          <w:b/>
          <w:bCs/>
          <w:sz w:val="30"/>
          <w:szCs w:val="30"/>
        </w:rPr>
        <w:t>五</w:t>
      </w:r>
      <w:r>
        <w:rPr>
          <w:rFonts w:ascii="仿宋_GB2312" w:hAnsi="仿宋" w:eastAsia="仿宋_GB2312" w:cs="黑体"/>
          <w:b/>
          <w:bCs/>
          <w:sz w:val="30"/>
          <w:szCs w:val="30"/>
        </w:rPr>
        <w:t>）“云赋匠能”产业人才技能提升领航计划专项研究</w:t>
      </w:r>
    </w:p>
    <w:p w14:paraId="31FCB91C">
      <w:pPr>
        <w:widowControl/>
        <w:spacing w:line="500" w:lineRule="exact"/>
        <w:ind w:firstLine="600" w:firstLineChars="200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本方向紧扣学习型社会建设重点任务和中国成人教育协会“云赋匠能”产业人才技能提升领航计划工作要求，聚焦重点产业人才培育、云端赋能培训、产教协同育人，服务新质生产力发展与现代产业工人队伍建设改革。</w:t>
      </w:r>
    </w:p>
    <w:p w14:paraId="47563E17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“云赋匠能”计划框架下高校继续教育产业人才培育体系构建与实践</w:t>
      </w:r>
    </w:p>
    <w:p w14:paraId="5298C6CE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面向制造业、新能源、现代服务业等重点领域的“云端学习+实践赋能”技能培训模式</w:t>
      </w:r>
    </w:p>
    <w:p w14:paraId="4A0FAD7E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“云赋匠能”校企协同共建产业人才培养基地的运行机制与提质路径研究</w:t>
      </w:r>
    </w:p>
    <w:p w14:paraId="567FA0C0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数字化赋能产业工人终身技能迭代、岗位适配提升实证研究</w:t>
      </w:r>
    </w:p>
    <w:p w14:paraId="7946C7C1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“云赋匠能”项目培训课程体系、模块化资源开发与教学创新</w:t>
      </w:r>
    </w:p>
    <w:p w14:paraId="2B6A276F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高校承接“云赋匠能”技能提升项目的质量管控、成效评价体系</w:t>
      </w:r>
    </w:p>
    <w:p w14:paraId="22778B97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区域产业特色视角下“云赋匠能”人才培育差异化发展路径研究</w:t>
      </w:r>
    </w:p>
    <w:p w14:paraId="5F32F785">
      <w:pPr>
        <w:widowControl/>
        <w:numPr>
          <w:ilvl w:val="0"/>
          <w:numId w:val="5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“云赋匠能”计划助力乡村产业人才、基层技能人才培育实践</w:t>
      </w:r>
    </w:p>
    <w:p w14:paraId="414E9716">
      <w:pPr>
        <w:widowControl/>
        <w:spacing w:line="500" w:lineRule="exact"/>
        <w:ind w:left="360"/>
        <w:jc w:val="left"/>
        <w:rPr>
          <w:rFonts w:hint="eastAsia" w:ascii="仿宋_GB2312" w:hAnsi="仿宋" w:eastAsia="仿宋_GB2312" w:cs="黑体"/>
          <w:b/>
          <w:bCs/>
          <w:sz w:val="30"/>
          <w:szCs w:val="30"/>
        </w:rPr>
      </w:pPr>
      <w:r>
        <w:rPr>
          <w:rFonts w:ascii="仿宋_GB2312" w:hAnsi="仿宋" w:eastAsia="仿宋_GB2312" w:cs="黑体"/>
          <w:b/>
          <w:bCs/>
          <w:sz w:val="30"/>
          <w:szCs w:val="30"/>
        </w:rPr>
        <w:t>（</w:t>
      </w:r>
      <w:r>
        <w:rPr>
          <w:rFonts w:hint="eastAsia" w:ascii="仿宋_GB2312" w:hAnsi="仿宋" w:eastAsia="仿宋_GB2312" w:cs="黑体"/>
          <w:b/>
          <w:bCs/>
          <w:sz w:val="30"/>
          <w:szCs w:val="30"/>
        </w:rPr>
        <w:t>六</w:t>
      </w:r>
      <w:r>
        <w:rPr>
          <w:rFonts w:ascii="仿宋_GB2312" w:hAnsi="仿宋" w:eastAsia="仿宋_GB2312" w:cs="黑体"/>
          <w:b/>
          <w:bCs/>
          <w:sz w:val="30"/>
          <w:szCs w:val="30"/>
        </w:rPr>
        <w:t>）高等继续教育国际化发展专项研究</w:t>
      </w:r>
    </w:p>
    <w:p w14:paraId="7F0704CD">
      <w:pPr>
        <w:widowControl/>
        <w:spacing w:line="500" w:lineRule="exact"/>
        <w:ind w:left="360" w:firstLine="600" w:firstLineChars="200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本方向立足教育对外开放总体战略，聚焦高等继续教育国际化改革创新，探索跨境终身学习服务、国际合作办学、优质资源互通共享、国际化人才培育新路径，补齐继续教育国际化研究短板，助力新时代教育对外开放高质量发展。</w:t>
      </w:r>
    </w:p>
    <w:p w14:paraId="4B501632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教育对外开放背景下高等继续教育国际化发展战略与路径研究</w:t>
      </w:r>
    </w:p>
    <w:p w14:paraId="5A706164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高校继续教育中外合作办学规范化建设、质量保障与风险防控研究</w:t>
      </w:r>
    </w:p>
    <w:p w14:paraId="24552261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中外终身教育、继续教育办学模式与课程体系比较及借鉴研究</w:t>
      </w:r>
    </w:p>
    <w:p w14:paraId="7114B00A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跨境线上继续教育、国际终身学习资源共建共享实践</w:t>
      </w:r>
    </w:p>
    <w:p w14:paraId="41B25071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面向国际化的成人学习者跨文化素养与专业能力培育</w:t>
      </w:r>
    </w:p>
    <w:p w14:paraId="70C4CC99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“一带一路”背景下高校继续教育服务涉外产业人才培育</w:t>
      </w:r>
    </w:p>
    <w:p w14:paraId="48EA09B6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高等继续教育国际化品牌建设与对外交流传播机制研究</w:t>
      </w:r>
    </w:p>
    <w:p w14:paraId="558355F8">
      <w:pPr>
        <w:widowControl/>
        <w:numPr>
          <w:ilvl w:val="0"/>
          <w:numId w:val="6"/>
        </w:numPr>
        <w:spacing w:line="500" w:lineRule="exact"/>
        <w:jc w:val="left"/>
        <w:rPr>
          <w:rFonts w:hint="eastAsia" w:ascii="仿宋_GB2312" w:hAnsi="仿宋" w:eastAsia="仿宋_GB2312" w:cs="黑体"/>
          <w:bCs/>
          <w:sz w:val="30"/>
          <w:szCs w:val="30"/>
        </w:rPr>
      </w:pPr>
      <w:r>
        <w:rPr>
          <w:rFonts w:ascii="仿宋_GB2312" w:hAnsi="仿宋" w:eastAsia="仿宋_GB2312" w:cs="黑体"/>
          <w:bCs/>
          <w:sz w:val="30"/>
          <w:szCs w:val="30"/>
        </w:rPr>
        <w:t>国际化视野下继续教育治理体系、评价标准对标优化研究</w:t>
      </w:r>
    </w:p>
    <w:p w14:paraId="56867C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EC7645"/>
    <w:multiLevelType w:val="multilevel"/>
    <w:tmpl w:val="04EC764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54C436B"/>
    <w:multiLevelType w:val="multilevel"/>
    <w:tmpl w:val="154C436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80B70D0"/>
    <w:multiLevelType w:val="multilevel"/>
    <w:tmpl w:val="280B70D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EE962A2"/>
    <w:multiLevelType w:val="multilevel"/>
    <w:tmpl w:val="2EE962A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F1164F6"/>
    <w:multiLevelType w:val="multilevel"/>
    <w:tmpl w:val="2F1164F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689F5B25"/>
    <w:multiLevelType w:val="multilevel"/>
    <w:tmpl w:val="689F5B2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003C0"/>
    <w:rsid w:val="57C0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2026-10-23T11:01:00Z</dcterms:created>
  <dc:creator>努力的小汪</dc:creator>
  <cp:lastModifiedBy>努力的小汪</cp:lastModifiedBy>
  <dcterms:modified xsi:type="dcterms:W3CDTF">2026-10-23T11:02:03Z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ECB8FD09406340D59ADC70A1A22FC105_11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